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2095" w14:textId="77777777" w:rsidR="00800817" w:rsidRPr="005360A6" w:rsidRDefault="00800817" w:rsidP="0010460D">
      <w:pPr>
        <w:jc w:val="center"/>
        <w:rPr>
          <w:rFonts w:ascii="Arial" w:hAnsi="Arial" w:cs="Arial"/>
          <w:b/>
          <w:sz w:val="20"/>
          <w:szCs w:val="20"/>
        </w:rPr>
      </w:pPr>
    </w:p>
    <w:p w14:paraId="24EE9E4F" w14:textId="6F1E9AF8" w:rsidR="00800817" w:rsidRPr="00474180" w:rsidRDefault="00800817" w:rsidP="00800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  <w:r w:rsidRPr="00474180">
        <w:rPr>
          <w:rFonts w:ascii="Arial" w:hAnsi="Arial" w:cs="Arial"/>
          <w:b/>
          <w:sz w:val="20"/>
          <w:szCs w:val="20"/>
        </w:rPr>
        <w:t>INFORMACIÓN PREVIA AL CONSENTIMIENTO</w:t>
      </w:r>
      <w:r w:rsidR="00474180" w:rsidRPr="00474180">
        <w:rPr>
          <w:rFonts w:ascii="Arial" w:hAnsi="Arial" w:cs="Arial"/>
          <w:b/>
          <w:sz w:val="20"/>
          <w:szCs w:val="20"/>
        </w:rPr>
        <w:t xml:space="preserve"> INFORMADO </w:t>
      </w:r>
      <w:r w:rsidRPr="00474180">
        <w:rPr>
          <w:rFonts w:ascii="Arial" w:hAnsi="Arial" w:cs="Arial"/>
          <w:b/>
          <w:sz w:val="20"/>
          <w:szCs w:val="20"/>
        </w:rPr>
        <w:t>PARA LA PARTICIPACIÓN EN EL PROGRAMA DE DETECCIÓN PRECOZ DE LA HIPERCOLESTEROLEMIA FAMILIAR.</w:t>
      </w:r>
    </w:p>
    <w:p w14:paraId="2D8CEA2D" w14:textId="118C6BAB" w:rsidR="00230360" w:rsidRPr="005360A6" w:rsidRDefault="009511B0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De acuerdo con lo establecido </w:t>
      </w:r>
      <w:r w:rsidR="007E4B9A" w:rsidRPr="005360A6">
        <w:rPr>
          <w:rFonts w:ascii="Arial" w:hAnsi="Arial" w:cs="Arial"/>
          <w:sz w:val="20"/>
          <w:szCs w:val="20"/>
        </w:rPr>
        <w:t>en el</w:t>
      </w:r>
      <w:r w:rsidRPr="005360A6">
        <w:rPr>
          <w:rFonts w:ascii="Arial" w:hAnsi="Arial" w:cs="Arial"/>
          <w:sz w:val="20"/>
          <w:szCs w:val="20"/>
        </w:rPr>
        <w:t xml:space="preserve"> artículo</w:t>
      </w:r>
      <w:r w:rsidR="007E4B9A" w:rsidRPr="005360A6">
        <w:rPr>
          <w:rFonts w:ascii="Arial" w:hAnsi="Arial" w:cs="Arial"/>
          <w:sz w:val="20"/>
          <w:szCs w:val="20"/>
        </w:rPr>
        <w:t xml:space="preserve"> </w:t>
      </w:r>
      <w:r w:rsidR="00230360" w:rsidRPr="005360A6">
        <w:rPr>
          <w:rFonts w:ascii="Arial" w:hAnsi="Arial" w:cs="Arial"/>
          <w:sz w:val="20"/>
          <w:szCs w:val="20"/>
        </w:rPr>
        <w:t xml:space="preserve">47 </w:t>
      </w:r>
      <w:r w:rsidRPr="005360A6">
        <w:rPr>
          <w:rFonts w:ascii="Arial" w:hAnsi="Arial" w:cs="Arial"/>
          <w:sz w:val="20"/>
          <w:szCs w:val="20"/>
        </w:rPr>
        <w:t xml:space="preserve">de la Ley 14/2007, de 3 de julio, de Investigación Biomédica, </w:t>
      </w:r>
      <w:r w:rsidR="00230360" w:rsidRPr="005360A6">
        <w:rPr>
          <w:rFonts w:ascii="Arial" w:hAnsi="Arial" w:cs="Arial"/>
          <w:sz w:val="20"/>
          <w:szCs w:val="20"/>
        </w:rPr>
        <w:t xml:space="preserve">a continuación </w:t>
      </w:r>
      <w:r w:rsidR="005429D4" w:rsidRPr="005360A6">
        <w:rPr>
          <w:rFonts w:ascii="Arial" w:hAnsi="Arial" w:cs="Arial"/>
          <w:sz w:val="20"/>
          <w:szCs w:val="20"/>
        </w:rPr>
        <w:t>se le facilita la</w:t>
      </w:r>
      <w:r w:rsidR="00230360" w:rsidRPr="005360A6">
        <w:rPr>
          <w:rFonts w:ascii="Arial" w:hAnsi="Arial" w:cs="Arial"/>
          <w:sz w:val="20"/>
          <w:szCs w:val="20"/>
        </w:rPr>
        <w:t xml:space="preserve"> información legalmente exigida para la válida emisión de su consentimiento:</w:t>
      </w:r>
    </w:p>
    <w:p w14:paraId="12007DA4" w14:textId="262DFBED" w:rsidR="000C472C" w:rsidRPr="005360A6" w:rsidRDefault="00230360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Características y objetivos de</w:t>
      </w:r>
      <w:r w:rsidR="000C472C" w:rsidRPr="005360A6">
        <w:rPr>
          <w:rFonts w:ascii="Arial" w:hAnsi="Arial" w:cs="Arial"/>
          <w:b/>
          <w:sz w:val="20"/>
          <w:szCs w:val="20"/>
        </w:rPr>
        <w:t xml:space="preserve"> </w:t>
      </w:r>
      <w:r w:rsidRPr="005360A6">
        <w:rPr>
          <w:rFonts w:ascii="Arial" w:hAnsi="Arial" w:cs="Arial"/>
          <w:b/>
          <w:sz w:val="20"/>
          <w:szCs w:val="20"/>
        </w:rPr>
        <w:t>l</w:t>
      </w:r>
      <w:r w:rsidR="000C472C" w:rsidRPr="005360A6">
        <w:rPr>
          <w:rFonts w:ascii="Arial" w:hAnsi="Arial" w:cs="Arial"/>
          <w:b/>
          <w:sz w:val="20"/>
          <w:szCs w:val="20"/>
        </w:rPr>
        <w:t>a</w:t>
      </w:r>
      <w:r w:rsidRPr="005360A6">
        <w:rPr>
          <w:rFonts w:ascii="Arial" w:hAnsi="Arial" w:cs="Arial"/>
          <w:b/>
          <w:sz w:val="20"/>
          <w:szCs w:val="20"/>
        </w:rPr>
        <w:t xml:space="preserve"> </w:t>
      </w:r>
      <w:r w:rsidR="00800817" w:rsidRPr="005360A6">
        <w:rPr>
          <w:rFonts w:ascii="Arial" w:hAnsi="Arial" w:cs="Arial"/>
          <w:b/>
          <w:sz w:val="20"/>
          <w:szCs w:val="20"/>
        </w:rPr>
        <w:t>p</w:t>
      </w:r>
      <w:r w:rsidR="000C472C" w:rsidRPr="005360A6">
        <w:rPr>
          <w:rFonts w:ascii="Arial" w:hAnsi="Arial" w:cs="Arial"/>
          <w:b/>
          <w:sz w:val="20"/>
          <w:szCs w:val="20"/>
        </w:rPr>
        <w:t xml:space="preserve">rueba </w:t>
      </w:r>
    </w:p>
    <w:p w14:paraId="73FA48BE" w14:textId="08E1007A" w:rsidR="008561DC" w:rsidRPr="00996135" w:rsidRDefault="008561DC" w:rsidP="008561DC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>El Programa de Detección Precoz de la Hipercolesterolemia Familia</w:t>
      </w:r>
      <w:r w:rsidR="006D6497" w:rsidRPr="00996135">
        <w:rPr>
          <w:rFonts w:ascii="Arial" w:hAnsi="Arial" w:cs="Arial"/>
          <w:sz w:val="20"/>
          <w:szCs w:val="20"/>
        </w:rPr>
        <w:t>r se ofrece a personas que tiene</w:t>
      </w:r>
      <w:r w:rsidRPr="00996135">
        <w:rPr>
          <w:rFonts w:ascii="Arial" w:hAnsi="Arial" w:cs="Arial"/>
          <w:sz w:val="20"/>
          <w:szCs w:val="20"/>
        </w:rPr>
        <w:t>n niveles muy elevados de colesterol con triglicéridos generalmente normales, o con otros signos que determine el médico. También se ofrece a personas que tengan familiares de primer grado de consanguinidad que tenga</w:t>
      </w:r>
      <w:r w:rsidR="00E55308" w:rsidRPr="00996135">
        <w:rPr>
          <w:rFonts w:ascii="Arial" w:hAnsi="Arial" w:cs="Arial"/>
          <w:sz w:val="20"/>
          <w:szCs w:val="20"/>
        </w:rPr>
        <w:t>n un estudio genético positivo.</w:t>
      </w:r>
    </w:p>
    <w:p w14:paraId="19D274ED" w14:textId="78421B96" w:rsidR="00800817" w:rsidRPr="00996135" w:rsidRDefault="00531B77" w:rsidP="0080081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 xml:space="preserve">El objetivo de esta prueba es realizar un diagnóstico precoz que nos permita prevenir </w:t>
      </w:r>
      <w:r w:rsidR="00800817" w:rsidRPr="00996135">
        <w:rPr>
          <w:rFonts w:ascii="Arial" w:hAnsi="Arial" w:cs="Arial"/>
          <w:sz w:val="20"/>
          <w:szCs w:val="20"/>
        </w:rPr>
        <w:t xml:space="preserve">la aparición de un infarto </w:t>
      </w:r>
      <w:r w:rsidR="00262E42">
        <w:rPr>
          <w:rFonts w:ascii="Arial" w:hAnsi="Arial" w:cs="Arial"/>
          <w:sz w:val="20"/>
          <w:szCs w:val="20"/>
        </w:rPr>
        <w:t>u otra</w:t>
      </w:r>
      <w:r w:rsidR="00800817" w:rsidRPr="00996135">
        <w:rPr>
          <w:rFonts w:ascii="Arial" w:hAnsi="Arial" w:cs="Arial"/>
          <w:sz w:val="20"/>
          <w:szCs w:val="20"/>
        </w:rPr>
        <w:t xml:space="preserve"> enfermedad cardiovascular</w:t>
      </w:r>
      <w:r w:rsidR="00262E42">
        <w:rPr>
          <w:rFonts w:ascii="Arial" w:hAnsi="Arial" w:cs="Arial"/>
          <w:sz w:val="20"/>
          <w:szCs w:val="20"/>
        </w:rPr>
        <w:t xml:space="preserve"> </w:t>
      </w:r>
      <w:r w:rsidR="00800817" w:rsidRPr="00996135">
        <w:rPr>
          <w:rFonts w:ascii="Arial" w:hAnsi="Arial" w:cs="Arial"/>
          <w:sz w:val="20"/>
          <w:szCs w:val="20"/>
        </w:rPr>
        <w:t>en edades tempranas de la vida</w:t>
      </w:r>
      <w:r w:rsidR="00E55308" w:rsidRPr="00996135">
        <w:rPr>
          <w:rFonts w:ascii="Arial" w:hAnsi="Arial" w:cs="Arial"/>
          <w:sz w:val="20"/>
          <w:szCs w:val="20"/>
        </w:rPr>
        <w:t>.</w:t>
      </w:r>
    </w:p>
    <w:p w14:paraId="79592512" w14:textId="1B2945A7" w:rsidR="003D129C" w:rsidRPr="005360A6" w:rsidRDefault="006D6497" w:rsidP="003D129C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>La Hipercolesterolemia Familiar e</w:t>
      </w:r>
      <w:r w:rsidR="008561DC" w:rsidRPr="00996135">
        <w:rPr>
          <w:rFonts w:ascii="Arial" w:hAnsi="Arial" w:cs="Arial"/>
          <w:sz w:val="20"/>
          <w:szCs w:val="20"/>
        </w:rPr>
        <w:t>stá causada por un defecto en el gen que regula el colesterol, produciendo una elevación del colesterol (colesterol LDL)</w:t>
      </w:r>
      <w:r w:rsidR="00E55308" w:rsidRPr="00996135">
        <w:rPr>
          <w:rFonts w:ascii="Arial" w:hAnsi="Arial" w:cs="Arial"/>
          <w:sz w:val="20"/>
          <w:szCs w:val="20"/>
        </w:rPr>
        <w:t xml:space="preserve">. </w:t>
      </w:r>
      <w:r w:rsidR="003D129C" w:rsidRPr="00996135">
        <w:rPr>
          <w:rFonts w:ascii="Arial" w:hAnsi="Arial" w:cs="Arial"/>
          <w:sz w:val="20"/>
          <w:szCs w:val="20"/>
        </w:rPr>
        <w:t xml:space="preserve">El Programa incluye </w:t>
      </w:r>
      <w:r w:rsidR="00262E42">
        <w:rPr>
          <w:rFonts w:ascii="Arial" w:hAnsi="Arial" w:cs="Arial"/>
          <w:sz w:val="20"/>
          <w:szCs w:val="20"/>
        </w:rPr>
        <w:t>l</w:t>
      </w:r>
      <w:r w:rsidR="003D129C" w:rsidRPr="00996135">
        <w:rPr>
          <w:rFonts w:ascii="Arial" w:hAnsi="Arial" w:cs="Arial"/>
          <w:sz w:val="20"/>
          <w:szCs w:val="20"/>
        </w:rPr>
        <w:t>a detección de los siguientes genes causantes de la Hipercolesterolemia Familiar: LDLR, APOB, PCSK9, LDLRAP1, APOE y STAP1.</w:t>
      </w:r>
    </w:p>
    <w:p w14:paraId="15A26149" w14:textId="77777777" w:rsidR="008D6BA7" w:rsidRPr="005360A6" w:rsidRDefault="00230360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Naturaleza voluntaria de la realización de las pruebas</w:t>
      </w:r>
      <w:r w:rsidR="00C135E7" w:rsidRPr="005360A6">
        <w:rPr>
          <w:rFonts w:ascii="Arial" w:hAnsi="Arial" w:cs="Arial"/>
          <w:b/>
          <w:sz w:val="20"/>
          <w:szCs w:val="20"/>
        </w:rPr>
        <w:t>.</w:t>
      </w:r>
    </w:p>
    <w:p w14:paraId="117AF84D" w14:textId="51344616" w:rsidR="00364D00" w:rsidRPr="005360A6" w:rsidRDefault="008D6BA7" w:rsidP="00C135E7">
      <w:pPr>
        <w:spacing w:before="240" w:after="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5360A6">
        <w:rPr>
          <w:rFonts w:ascii="Arial" w:hAnsi="Arial" w:cs="Arial"/>
          <w:color w:val="0D0D0D" w:themeColor="text1" w:themeTint="F2"/>
          <w:sz w:val="20"/>
          <w:szCs w:val="20"/>
        </w:rPr>
        <w:t>La prueba se ofrece por la Conseje</w:t>
      </w:r>
      <w:r w:rsidR="00800817" w:rsidRPr="005360A6">
        <w:rPr>
          <w:rFonts w:ascii="Arial" w:hAnsi="Arial" w:cs="Arial"/>
          <w:color w:val="0D0D0D" w:themeColor="text1" w:themeTint="F2"/>
          <w:sz w:val="20"/>
          <w:szCs w:val="20"/>
        </w:rPr>
        <w:t>ría de Sanidad y es voluntaria.</w:t>
      </w:r>
    </w:p>
    <w:p w14:paraId="35946017" w14:textId="579B329F" w:rsidR="00FD4877" w:rsidRPr="005360A6" w:rsidRDefault="00230360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Validez y fiabilidad de las pruebas</w:t>
      </w:r>
      <w:r w:rsidR="004304EE" w:rsidRPr="005360A6">
        <w:rPr>
          <w:rFonts w:ascii="Arial" w:hAnsi="Arial" w:cs="Arial"/>
          <w:b/>
          <w:sz w:val="20"/>
          <w:szCs w:val="20"/>
        </w:rPr>
        <w:t>.</w:t>
      </w:r>
    </w:p>
    <w:p w14:paraId="18371C16" w14:textId="71723B04" w:rsidR="009167AA" w:rsidRPr="005360A6" w:rsidRDefault="00FD4877" w:rsidP="00FD487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Esta prueba permite confirmar la sospecha médica de padecer Hipercolesterolemia Familiar</w:t>
      </w:r>
      <w:r w:rsidR="00191C70" w:rsidRPr="005360A6">
        <w:rPr>
          <w:rFonts w:ascii="Arial" w:hAnsi="Arial" w:cs="Arial"/>
          <w:sz w:val="20"/>
          <w:szCs w:val="20"/>
        </w:rPr>
        <w:t>,</w:t>
      </w:r>
      <w:r w:rsidRPr="005360A6">
        <w:rPr>
          <w:rFonts w:ascii="Arial" w:hAnsi="Arial" w:cs="Arial"/>
          <w:sz w:val="20"/>
          <w:szCs w:val="20"/>
        </w:rPr>
        <w:t xml:space="preserve"> mediante un estudio genético</w:t>
      </w:r>
      <w:r w:rsidR="00191C70" w:rsidRPr="005360A6">
        <w:rPr>
          <w:rFonts w:ascii="Arial" w:hAnsi="Arial" w:cs="Arial"/>
          <w:sz w:val="20"/>
          <w:szCs w:val="20"/>
        </w:rPr>
        <w:t xml:space="preserve"> </w:t>
      </w:r>
      <w:r w:rsidR="00191C70" w:rsidRPr="005360A6">
        <w:rPr>
          <w:rFonts w:ascii="Arial" w:hAnsi="Arial" w:cs="Arial"/>
          <w:color w:val="0D0D0D" w:themeColor="text1" w:themeTint="F2"/>
          <w:sz w:val="20"/>
          <w:szCs w:val="20"/>
        </w:rPr>
        <w:t>realizado</w:t>
      </w:r>
      <w:r w:rsidR="00262E4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470CA5" w:rsidRPr="005360A6">
        <w:rPr>
          <w:rFonts w:ascii="Arial" w:hAnsi="Arial" w:cs="Arial"/>
          <w:color w:val="0D0D0D" w:themeColor="text1" w:themeTint="F2"/>
          <w:sz w:val="20"/>
          <w:szCs w:val="20"/>
        </w:rPr>
        <w:t xml:space="preserve">en </w:t>
      </w:r>
      <w:r w:rsidR="008561DC" w:rsidRPr="005360A6">
        <w:rPr>
          <w:rFonts w:ascii="Arial" w:hAnsi="Arial" w:cs="Arial"/>
          <w:color w:val="0D0D0D" w:themeColor="text1" w:themeTint="F2"/>
          <w:sz w:val="20"/>
          <w:szCs w:val="20"/>
        </w:rPr>
        <w:t xml:space="preserve">una </w:t>
      </w:r>
      <w:r w:rsidR="008561DC" w:rsidRPr="005360A6">
        <w:rPr>
          <w:rFonts w:ascii="Arial" w:hAnsi="Arial" w:cs="Arial"/>
          <w:sz w:val="20"/>
          <w:szCs w:val="20"/>
        </w:rPr>
        <w:t>muestra de saliva</w:t>
      </w:r>
      <w:r w:rsidR="006D6497" w:rsidRPr="005360A6">
        <w:rPr>
          <w:rFonts w:ascii="Arial" w:hAnsi="Arial" w:cs="Arial"/>
          <w:sz w:val="20"/>
          <w:szCs w:val="20"/>
        </w:rPr>
        <w:t>, o</w:t>
      </w:r>
      <w:r w:rsidR="00E55308" w:rsidRPr="005360A6">
        <w:rPr>
          <w:rFonts w:ascii="Arial" w:hAnsi="Arial" w:cs="Arial"/>
          <w:sz w:val="20"/>
          <w:szCs w:val="20"/>
        </w:rPr>
        <w:t xml:space="preserve"> de sangre</w:t>
      </w:r>
      <w:r w:rsidR="00262E42">
        <w:rPr>
          <w:rFonts w:ascii="Arial" w:hAnsi="Arial" w:cs="Arial"/>
          <w:sz w:val="20"/>
          <w:szCs w:val="20"/>
        </w:rPr>
        <w:t>,</w:t>
      </w:r>
      <w:r w:rsidR="00E55308" w:rsidRPr="005360A6">
        <w:rPr>
          <w:rFonts w:ascii="Arial" w:hAnsi="Arial" w:cs="Arial"/>
          <w:sz w:val="20"/>
          <w:szCs w:val="20"/>
        </w:rPr>
        <w:t xml:space="preserve"> en caso de no obtener un resultado concluyente con la primera muestra</w:t>
      </w:r>
      <w:r w:rsidRPr="005360A6">
        <w:rPr>
          <w:rFonts w:ascii="Arial" w:hAnsi="Arial" w:cs="Arial"/>
          <w:sz w:val="20"/>
          <w:szCs w:val="20"/>
        </w:rPr>
        <w:t>.</w:t>
      </w:r>
    </w:p>
    <w:p w14:paraId="0AE41CE9" w14:textId="7CD75D26" w:rsidR="00470CA5" w:rsidRPr="005360A6" w:rsidRDefault="00914530" w:rsidP="00FD487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El hecho de no encontrar mutaciones en los genes estudiados no excluye que </w:t>
      </w:r>
      <w:r w:rsidR="00B66121" w:rsidRPr="005360A6">
        <w:rPr>
          <w:rFonts w:ascii="Arial" w:hAnsi="Arial" w:cs="Arial"/>
          <w:sz w:val="20"/>
          <w:szCs w:val="20"/>
        </w:rPr>
        <w:t xml:space="preserve">se </w:t>
      </w:r>
      <w:r w:rsidRPr="005360A6">
        <w:rPr>
          <w:rFonts w:ascii="Arial" w:hAnsi="Arial" w:cs="Arial"/>
          <w:sz w:val="20"/>
          <w:szCs w:val="20"/>
        </w:rPr>
        <w:t>pueda ser susceptible de padecer la enfermedad</w:t>
      </w:r>
      <w:r w:rsidR="00E5798F" w:rsidRPr="005360A6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9167AA" w:rsidRPr="005360A6">
        <w:rPr>
          <w:rFonts w:ascii="Arial" w:hAnsi="Arial" w:cs="Arial"/>
          <w:sz w:val="20"/>
          <w:szCs w:val="20"/>
        </w:rPr>
        <w:t xml:space="preserve"> ya que son numerosas las mutaciones causantes de la misma y no se dispone de métodos adecuados para la confirmación de todas.</w:t>
      </w:r>
    </w:p>
    <w:p w14:paraId="6AF23BA3" w14:textId="5D6B37ED" w:rsidR="00914530" w:rsidRPr="005360A6" w:rsidRDefault="00191C70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P</w:t>
      </w:r>
      <w:r w:rsidR="00230360" w:rsidRPr="005360A6">
        <w:rPr>
          <w:rFonts w:ascii="Arial" w:hAnsi="Arial" w:cs="Arial"/>
          <w:b/>
          <w:sz w:val="20"/>
          <w:szCs w:val="20"/>
        </w:rPr>
        <w:t>osibilidad de obtener falsos</w:t>
      </w:r>
      <w:r w:rsidR="004843AF" w:rsidRPr="005360A6">
        <w:rPr>
          <w:rFonts w:ascii="Arial" w:hAnsi="Arial" w:cs="Arial"/>
          <w:b/>
          <w:sz w:val="20"/>
          <w:szCs w:val="20"/>
        </w:rPr>
        <w:t xml:space="preserve"> </w:t>
      </w:r>
      <w:r w:rsidR="008561DC" w:rsidRPr="005360A6">
        <w:rPr>
          <w:rFonts w:ascii="Arial" w:hAnsi="Arial" w:cs="Arial"/>
          <w:b/>
          <w:sz w:val="20"/>
          <w:szCs w:val="20"/>
        </w:rPr>
        <w:t>positivos.</w:t>
      </w:r>
    </w:p>
    <w:p w14:paraId="69E98BCB" w14:textId="0780CAB6" w:rsidR="00E55308" w:rsidRPr="005360A6" w:rsidRDefault="008561DC" w:rsidP="00191C70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No se da.</w:t>
      </w:r>
    </w:p>
    <w:p w14:paraId="5652A142" w14:textId="754D59C2" w:rsidR="009B5296" w:rsidRPr="005360A6" w:rsidRDefault="009B5296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Período de tiempo que transcurrirá entre las distintas etapas del proceso de cribado</w:t>
      </w:r>
      <w:r w:rsidR="008561DC" w:rsidRPr="005360A6">
        <w:rPr>
          <w:rFonts w:ascii="Arial" w:hAnsi="Arial" w:cs="Arial"/>
          <w:b/>
          <w:sz w:val="20"/>
          <w:szCs w:val="20"/>
        </w:rPr>
        <w:t>.</w:t>
      </w:r>
    </w:p>
    <w:p w14:paraId="3B014648" w14:textId="3BBA2B96" w:rsidR="00BA1752" w:rsidRPr="005360A6" w:rsidRDefault="004577AD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El resultado</w:t>
      </w:r>
      <w:r w:rsidR="002B2CE8" w:rsidRPr="005360A6">
        <w:rPr>
          <w:rFonts w:ascii="Arial" w:hAnsi="Arial" w:cs="Arial"/>
          <w:sz w:val="20"/>
          <w:szCs w:val="20"/>
        </w:rPr>
        <w:t xml:space="preserve"> de la prueba se cono</w:t>
      </w:r>
      <w:r w:rsidR="00847E2D" w:rsidRPr="005360A6">
        <w:rPr>
          <w:rFonts w:ascii="Arial" w:hAnsi="Arial" w:cs="Arial"/>
          <w:sz w:val="20"/>
          <w:szCs w:val="20"/>
        </w:rPr>
        <w:t xml:space="preserve">cerá aproximadamente a los 30 días desde la toma de la muestra y se lo </w:t>
      </w:r>
      <w:r w:rsidRPr="005360A6">
        <w:rPr>
          <w:rFonts w:ascii="Arial" w:hAnsi="Arial" w:cs="Arial"/>
          <w:sz w:val="20"/>
          <w:szCs w:val="20"/>
        </w:rPr>
        <w:t>comunica</w:t>
      </w:r>
      <w:r w:rsidR="00847E2D" w:rsidRPr="005360A6">
        <w:rPr>
          <w:rFonts w:ascii="Arial" w:hAnsi="Arial" w:cs="Arial"/>
          <w:sz w:val="20"/>
          <w:szCs w:val="20"/>
        </w:rPr>
        <w:t xml:space="preserve">rá </w:t>
      </w:r>
      <w:r w:rsidR="009167AA" w:rsidRPr="005360A6">
        <w:rPr>
          <w:rFonts w:ascii="Arial" w:hAnsi="Arial" w:cs="Arial"/>
          <w:sz w:val="20"/>
          <w:szCs w:val="20"/>
        </w:rPr>
        <w:t xml:space="preserve">su </w:t>
      </w:r>
      <w:r w:rsidR="00847E2D" w:rsidRPr="005360A6">
        <w:rPr>
          <w:rFonts w:ascii="Arial" w:hAnsi="Arial" w:cs="Arial"/>
          <w:sz w:val="20"/>
          <w:szCs w:val="20"/>
        </w:rPr>
        <w:t>médico en el mínimo tiempo posible desde que reciba los resultados.</w:t>
      </w:r>
    </w:p>
    <w:p w14:paraId="3AF201D0" w14:textId="52AEBD3C" w:rsidR="009B5296" w:rsidRPr="005360A6" w:rsidRDefault="009B5296" w:rsidP="00E55308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lastRenderedPageBreak/>
        <w:t>Posibilidades de tratamiento y prevención de la enfermedad tras su diagnóstico</w:t>
      </w:r>
      <w:r w:rsidR="00E55308" w:rsidRPr="005360A6">
        <w:rPr>
          <w:rFonts w:ascii="Arial" w:hAnsi="Arial" w:cs="Arial"/>
          <w:b/>
          <w:sz w:val="20"/>
          <w:szCs w:val="20"/>
        </w:rPr>
        <w:t>.</w:t>
      </w:r>
    </w:p>
    <w:p w14:paraId="713C513E" w14:textId="383AB967" w:rsidR="00531B77" w:rsidRPr="005360A6" w:rsidRDefault="00531B77" w:rsidP="00531B7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El Programa permite conocer la</w:t>
      </w:r>
      <w:r w:rsidR="00E55308" w:rsidRPr="005360A6">
        <w:rPr>
          <w:rFonts w:ascii="Arial" w:hAnsi="Arial" w:cs="Arial"/>
          <w:sz w:val="20"/>
          <w:szCs w:val="20"/>
        </w:rPr>
        <w:t xml:space="preserve"> existencia de la mutación causante de la enfermedad y así establecer un </w:t>
      </w:r>
      <w:r w:rsidRPr="005360A6">
        <w:rPr>
          <w:rFonts w:ascii="Arial" w:hAnsi="Arial" w:cs="Arial"/>
          <w:sz w:val="20"/>
          <w:szCs w:val="20"/>
        </w:rPr>
        <w:t xml:space="preserve">tratamiento farmacológico adecuado y </w:t>
      </w:r>
      <w:r w:rsidR="00E55308" w:rsidRPr="005360A6">
        <w:rPr>
          <w:rFonts w:ascii="Arial" w:hAnsi="Arial" w:cs="Arial"/>
          <w:sz w:val="20"/>
          <w:szCs w:val="20"/>
        </w:rPr>
        <w:t>hábitos de</w:t>
      </w:r>
      <w:r w:rsidRPr="005360A6">
        <w:rPr>
          <w:rFonts w:ascii="Arial" w:hAnsi="Arial" w:cs="Arial"/>
          <w:sz w:val="20"/>
          <w:szCs w:val="20"/>
        </w:rPr>
        <w:t xml:space="preserve"> vida saludable</w:t>
      </w:r>
      <w:r w:rsidR="00E55308" w:rsidRPr="005360A6">
        <w:rPr>
          <w:rFonts w:ascii="Arial" w:hAnsi="Arial" w:cs="Arial"/>
          <w:sz w:val="20"/>
          <w:szCs w:val="20"/>
        </w:rPr>
        <w:t>.</w:t>
      </w:r>
    </w:p>
    <w:p w14:paraId="320598B5" w14:textId="3399F9ED" w:rsidR="009B5296" w:rsidRPr="005360A6" w:rsidRDefault="009B5296" w:rsidP="00E55308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trike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Incomodidades, riesgos y acontecimientos adversos que pueden derivarse del proceso de diagnóstico</w:t>
      </w:r>
      <w:r w:rsidR="00FE5CA5" w:rsidRPr="005360A6">
        <w:rPr>
          <w:rFonts w:ascii="Arial" w:hAnsi="Arial" w:cs="Arial"/>
          <w:b/>
          <w:strike/>
          <w:sz w:val="20"/>
          <w:szCs w:val="20"/>
        </w:rPr>
        <w:t>.</w:t>
      </w:r>
    </w:p>
    <w:p w14:paraId="1BC021DC" w14:textId="3C5A6879" w:rsidR="009B5296" w:rsidRPr="005360A6" w:rsidRDefault="006B0AA5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Esta prueba</w:t>
      </w:r>
      <w:r w:rsidR="00C95C6C" w:rsidRPr="005360A6">
        <w:rPr>
          <w:rFonts w:ascii="Arial" w:hAnsi="Arial" w:cs="Arial"/>
          <w:sz w:val="20"/>
          <w:szCs w:val="20"/>
        </w:rPr>
        <w:t>, prácticamente</w:t>
      </w:r>
      <w:r w:rsidR="00E55308" w:rsidRPr="005360A6">
        <w:rPr>
          <w:rFonts w:ascii="Arial" w:hAnsi="Arial" w:cs="Arial"/>
          <w:sz w:val="20"/>
          <w:szCs w:val="20"/>
        </w:rPr>
        <w:t xml:space="preserve"> </w:t>
      </w:r>
      <w:r w:rsidRPr="005360A6">
        <w:rPr>
          <w:rFonts w:ascii="Arial" w:hAnsi="Arial" w:cs="Arial"/>
          <w:sz w:val="20"/>
          <w:szCs w:val="20"/>
        </w:rPr>
        <w:t>no conlleva ningún riesgo</w:t>
      </w:r>
      <w:r w:rsidR="00E55308" w:rsidRPr="005360A6">
        <w:rPr>
          <w:rFonts w:ascii="Arial" w:hAnsi="Arial" w:cs="Arial"/>
          <w:sz w:val="20"/>
          <w:szCs w:val="20"/>
        </w:rPr>
        <w:t>, excepto los derivados de la extracción de sangre en el caso de que fuera preciso</w:t>
      </w:r>
      <w:r w:rsidRPr="005360A6">
        <w:rPr>
          <w:rFonts w:ascii="Arial" w:hAnsi="Arial" w:cs="Arial"/>
          <w:sz w:val="20"/>
          <w:szCs w:val="20"/>
        </w:rPr>
        <w:t xml:space="preserve">. </w:t>
      </w:r>
    </w:p>
    <w:p w14:paraId="34DFC10D" w14:textId="77777777" w:rsidR="0011340E" w:rsidRPr="005360A6" w:rsidRDefault="006132F2" w:rsidP="00E55308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 xml:space="preserve">Conservación de los datos. </w:t>
      </w:r>
      <w:r w:rsidR="009B5296" w:rsidRPr="005360A6">
        <w:rPr>
          <w:rFonts w:ascii="Arial" w:hAnsi="Arial" w:cs="Arial"/>
          <w:b/>
          <w:sz w:val="20"/>
          <w:szCs w:val="20"/>
        </w:rPr>
        <w:t>Lugar de realización del análisis y destino de la muestra biológica al término del mismo</w:t>
      </w:r>
      <w:r w:rsidR="0011340E" w:rsidRPr="005360A6">
        <w:rPr>
          <w:rFonts w:ascii="Arial" w:hAnsi="Arial" w:cs="Arial"/>
          <w:b/>
          <w:sz w:val="20"/>
          <w:szCs w:val="20"/>
        </w:rPr>
        <w:t>.</w:t>
      </w:r>
    </w:p>
    <w:p w14:paraId="06FDD82F" w14:textId="77777777" w:rsidR="00074387" w:rsidRPr="005360A6" w:rsidRDefault="0011340E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L</w:t>
      </w:r>
      <w:r w:rsidR="00CA5210" w:rsidRPr="005360A6">
        <w:rPr>
          <w:rFonts w:ascii="Arial" w:hAnsi="Arial" w:cs="Arial"/>
          <w:sz w:val="20"/>
          <w:szCs w:val="20"/>
        </w:rPr>
        <w:t xml:space="preserve">os datos de esta prueba se mantendrán durante </w:t>
      </w:r>
      <w:r w:rsidR="006132F2" w:rsidRPr="005360A6">
        <w:rPr>
          <w:rFonts w:ascii="Arial" w:hAnsi="Arial" w:cs="Arial"/>
          <w:sz w:val="20"/>
          <w:szCs w:val="20"/>
        </w:rPr>
        <w:t xml:space="preserve">un periodo mínimo de </w:t>
      </w:r>
      <w:r w:rsidR="00CA5210" w:rsidRPr="005360A6">
        <w:rPr>
          <w:rFonts w:ascii="Arial" w:hAnsi="Arial" w:cs="Arial"/>
          <w:sz w:val="20"/>
          <w:szCs w:val="20"/>
        </w:rPr>
        <w:t>cinco años desde la fecha en que fueron obtenidos</w:t>
      </w:r>
      <w:r w:rsidR="006132F2" w:rsidRPr="005360A6">
        <w:rPr>
          <w:rFonts w:ascii="Arial" w:hAnsi="Arial" w:cs="Arial"/>
          <w:sz w:val="20"/>
          <w:szCs w:val="20"/>
        </w:rPr>
        <w:t>,</w:t>
      </w:r>
      <w:r w:rsidR="00CA5210" w:rsidRPr="005360A6">
        <w:rPr>
          <w:rFonts w:ascii="Arial" w:hAnsi="Arial" w:cs="Arial"/>
          <w:sz w:val="20"/>
          <w:szCs w:val="20"/>
        </w:rPr>
        <w:t xml:space="preserve"> transcurrido el cual podrá solicitar su cancelación</w:t>
      </w:r>
      <w:r w:rsidR="00BA1752" w:rsidRPr="005360A6">
        <w:rPr>
          <w:rFonts w:ascii="Arial" w:hAnsi="Arial" w:cs="Arial"/>
          <w:sz w:val="20"/>
          <w:szCs w:val="20"/>
        </w:rPr>
        <w:t>.</w:t>
      </w:r>
    </w:p>
    <w:p w14:paraId="535B28FD" w14:textId="75E95D2C" w:rsidR="00807072" w:rsidRPr="005360A6" w:rsidRDefault="0012721F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Si no mediase solicitud </w:t>
      </w:r>
      <w:r w:rsidR="00BA1752" w:rsidRPr="005360A6">
        <w:rPr>
          <w:rFonts w:ascii="Arial" w:hAnsi="Arial" w:cs="Arial"/>
          <w:sz w:val="20"/>
          <w:szCs w:val="20"/>
        </w:rPr>
        <w:t>de cancelación</w:t>
      </w:r>
      <w:r w:rsidRPr="005360A6">
        <w:rPr>
          <w:rFonts w:ascii="Arial" w:hAnsi="Arial" w:cs="Arial"/>
          <w:sz w:val="20"/>
          <w:szCs w:val="20"/>
        </w:rPr>
        <w:t>, los datos se conservaran durante el plazo que sea necesario para preservar la salud de la persona de quien proceden o de terceros relacionados con ella. Fuera de estos supuestos l</w:t>
      </w:r>
      <w:r w:rsidR="00D87DDA" w:rsidRPr="005360A6">
        <w:rPr>
          <w:rFonts w:ascii="Arial" w:hAnsi="Arial" w:cs="Arial"/>
          <w:sz w:val="20"/>
          <w:szCs w:val="20"/>
        </w:rPr>
        <w:t>os datos</w:t>
      </w:r>
      <w:r w:rsidR="00807072" w:rsidRPr="005360A6">
        <w:rPr>
          <w:rFonts w:ascii="Arial" w:hAnsi="Arial" w:cs="Arial"/>
          <w:sz w:val="20"/>
          <w:szCs w:val="20"/>
        </w:rPr>
        <w:t xml:space="preserve"> solo </w:t>
      </w:r>
      <w:r w:rsidRPr="005360A6">
        <w:rPr>
          <w:rFonts w:ascii="Arial" w:hAnsi="Arial" w:cs="Arial"/>
          <w:sz w:val="20"/>
          <w:szCs w:val="20"/>
        </w:rPr>
        <w:t>podrán conservarse con fines de investigación de forma anonimizada</w:t>
      </w:r>
      <w:r w:rsidR="00807072" w:rsidRPr="005360A6">
        <w:rPr>
          <w:rFonts w:ascii="Arial" w:hAnsi="Arial" w:cs="Arial"/>
          <w:sz w:val="20"/>
          <w:szCs w:val="20"/>
        </w:rPr>
        <w:t>.</w:t>
      </w:r>
      <w:r w:rsidR="00847E2D" w:rsidRPr="005360A6">
        <w:rPr>
          <w:rFonts w:ascii="Arial" w:hAnsi="Arial" w:cs="Arial"/>
          <w:sz w:val="20"/>
          <w:szCs w:val="20"/>
        </w:rPr>
        <w:t xml:space="preserve"> En este caso, el consentimiento se referirá, también, a la posibilidad de anonimizar la muestra.</w:t>
      </w:r>
    </w:p>
    <w:p w14:paraId="6B40484D" w14:textId="25A0B2AE" w:rsidR="007D6279" w:rsidRPr="005360A6" w:rsidRDefault="00CA5210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Las </w:t>
      </w:r>
      <w:r w:rsidR="0011340E" w:rsidRPr="005360A6">
        <w:rPr>
          <w:rFonts w:ascii="Arial" w:hAnsi="Arial" w:cs="Arial"/>
          <w:sz w:val="20"/>
          <w:szCs w:val="20"/>
        </w:rPr>
        <w:t xml:space="preserve">muestras se analizaran en </w:t>
      </w:r>
      <w:r w:rsidR="007D6279" w:rsidRPr="005360A6">
        <w:rPr>
          <w:rFonts w:ascii="Arial" w:hAnsi="Arial" w:cs="Arial"/>
          <w:sz w:val="20"/>
          <w:szCs w:val="20"/>
        </w:rPr>
        <w:t xml:space="preserve">el laboratorio </w:t>
      </w:r>
      <w:r w:rsidR="00E55308" w:rsidRPr="005360A6">
        <w:rPr>
          <w:rFonts w:ascii="Arial" w:hAnsi="Arial" w:cs="Arial"/>
          <w:sz w:val="20"/>
          <w:szCs w:val="20"/>
        </w:rPr>
        <w:t>designado por la Dirección General de Salud Pública</w:t>
      </w:r>
      <w:r w:rsidR="009A65F6" w:rsidRPr="005360A6">
        <w:rPr>
          <w:rFonts w:ascii="Arial" w:hAnsi="Arial" w:cs="Arial"/>
          <w:sz w:val="20"/>
          <w:szCs w:val="20"/>
        </w:rPr>
        <w:t>, en la actualidad</w:t>
      </w:r>
      <w:r w:rsidR="00E55308" w:rsidRPr="005360A6">
        <w:rPr>
          <w:rFonts w:ascii="Arial" w:hAnsi="Arial" w:cs="Arial"/>
          <w:sz w:val="20"/>
          <w:szCs w:val="20"/>
        </w:rPr>
        <w:t xml:space="preserve"> </w:t>
      </w:r>
      <w:r w:rsidR="007D6279" w:rsidRPr="005360A6">
        <w:rPr>
          <w:rFonts w:ascii="Arial" w:hAnsi="Arial" w:cs="Arial"/>
          <w:sz w:val="20"/>
          <w:szCs w:val="20"/>
        </w:rPr>
        <w:t>PROGENIKA BIOPHARMA</w:t>
      </w:r>
      <w:r w:rsidR="009A65F6" w:rsidRPr="005360A6">
        <w:rPr>
          <w:rFonts w:ascii="Arial" w:hAnsi="Arial" w:cs="Arial"/>
          <w:sz w:val="20"/>
          <w:szCs w:val="20"/>
        </w:rPr>
        <w:t xml:space="preserve"> S.A. (</w:t>
      </w:r>
      <w:r w:rsidR="007D6279" w:rsidRPr="005360A6">
        <w:rPr>
          <w:rFonts w:ascii="Arial" w:hAnsi="Arial" w:cs="Arial"/>
          <w:sz w:val="20"/>
          <w:szCs w:val="20"/>
        </w:rPr>
        <w:t xml:space="preserve">Parque tecnológico de </w:t>
      </w:r>
      <w:proofErr w:type="spellStart"/>
      <w:r w:rsidR="007D6279" w:rsidRPr="005360A6">
        <w:rPr>
          <w:rFonts w:ascii="Arial" w:hAnsi="Arial" w:cs="Arial"/>
          <w:sz w:val="20"/>
          <w:szCs w:val="20"/>
        </w:rPr>
        <w:t>Bizkaya</w:t>
      </w:r>
      <w:proofErr w:type="spellEnd"/>
      <w:r w:rsidR="007D6279" w:rsidRPr="005360A6">
        <w:rPr>
          <w:rFonts w:ascii="Arial" w:hAnsi="Arial" w:cs="Arial"/>
          <w:sz w:val="20"/>
          <w:szCs w:val="20"/>
        </w:rPr>
        <w:t xml:space="preserve"> 504, 48160 Derio</w:t>
      </w:r>
      <w:r w:rsidR="009A65F6" w:rsidRPr="005360A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65F6" w:rsidRPr="005360A6">
        <w:rPr>
          <w:rFonts w:ascii="Arial" w:hAnsi="Arial" w:cs="Arial"/>
          <w:sz w:val="20"/>
          <w:szCs w:val="20"/>
        </w:rPr>
        <w:t>Bizkaya</w:t>
      </w:r>
      <w:proofErr w:type="spellEnd"/>
      <w:r w:rsidR="009A65F6" w:rsidRPr="005360A6">
        <w:rPr>
          <w:rFonts w:ascii="Arial" w:hAnsi="Arial" w:cs="Arial"/>
          <w:sz w:val="20"/>
          <w:szCs w:val="20"/>
        </w:rPr>
        <w:t>)</w:t>
      </w:r>
      <w:r w:rsidR="007D6279" w:rsidRPr="005360A6">
        <w:rPr>
          <w:rFonts w:ascii="Arial" w:hAnsi="Arial" w:cs="Arial"/>
          <w:sz w:val="20"/>
          <w:szCs w:val="20"/>
        </w:rPr>
        <w:t>.</w:t>
      </w:r>
    </w:p>
    <w:p w14:paraId="76D5BFA6" w14:textId="77777777" w:rsidR="009B5296" w:rsidRPr="005360A6" w:rsidRDefault="009B5296" w:rsidP="009A65F6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 xml:space="preserve">Personas que tendrán acceso a los resultados </w:t>
      </w:r>
      <w:r w:rsidR="005429D4" w:rsidRPr="005360A6">
        <w:rPr>
          <w:rFonts w:ascii="Arial" w:hAnsi="Arial" w:cs="Arial"/>
          <w:b/>
          <w:sz w:val="20"/>
          <w:szCs w:val="20"/>
        </w:rPr>
        <w:t xml:space="preserve">de los análisis cuando aquellos no vayan a ser sometidos a procedimientos de disociación o </w:t>
      </w:r>
      <w:proofErr w:type="spellStart"/>
      <w:r w:rsidR="005429D4" w:rsidRPr="005360A6">
        <w:rPr>
          <w:rFonts w:ascii="Arial" w:hAnsi="Arial" w:cs="Arial"/>
          <w:b/>
          <w:sz w:val="20"/>
          <w:szCs w:val="20"/>
        </w:rPr>
        <w:t>anonimización</w:t>
      </w:r>
      <w:proofErr w:type="spellEnd"/>
      <w:r w:rsidR="00B87235" w:rsidRPr="005360A6">
        <w:rPr>
          <w:rFonts w:ascii="Arial" w:hAnsi="Arial" w:cs="Arial"/>
          <w:b/>
          <w:sz w:val="20"/>
          <w:szCs w:val="20"/>
        </w:rPr>
        <w:t>.</w:t>
      </w:r>
    </w:p>
    <w:p w14:paraId="01264D07" w14:textId="3ADBF833" w:rsidR="0012721F" w:rsidRPr="005360A6" w:rsidRDefault="00394D82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El personal</w:t>
      </w:r>
      <w:r w:rsidR="00480A5C" w:rsidRPr="005360A6">
        <w:rPr>
          <w:rFonts w:ascii="Arial" w:hAnsi="Arial" w:cs="Arial"/>
          <w:sz w:val="20"/>
          <w:szCs w:val="20"/>
        </w:rPr>
        <w:t xml:space="preserve"> </w:t>
      </w:r>
      <w:r w:rsidRPr="005360A6">
        <w:rPr>
          <w:rFonts w:ascii="Arial" w:hAnsi="Arial" w:cs="Arial"/>
          <w:sz w:val="20"/>
          <w:szCs w:val="20"/>
        </w:rPr>
        <w:t>sanitario</w:t>
      </w:r>
      <w:r w:rsidR="002B2CE8" w:rsidRPr="005360A6">
        <w:rPr>
          <w:rFonts w:ascii="Arial" w:hAnsi="Arial" w:cs="Arial"/>
          <w:sz w:val="20"/>
          <w:szCs w:val="20"/>
        </w:rPr>
        <w:t xml:space="preserve"> de </w:t>
      </w:r>
      <w:r w:rsidR="00BA1752" w:rsidRPr="005360A6">
        <w:rPr>
          <w:rFonts w:ascii="Arial" w:hAnsi="Arial" w:cs="Arial"/>
          <w:sz w:val="20"/>
          <w:szCs w:val="20"/>
        </w:rPr>
        <w:t>la Dirección G</w:t>
      </w:r>
      <w:r w:rsidR="00E2321F" w:rsidRPr="005360A6">
        <w:rPr>
          <w:rFonts w:ascii="Arial" w:hAnsi="Arial" w:cs="Arial"/>
          <w:sz w:val="20"/>
          <w:szCs w:val="20"/>
        </w:rPr>
        <w:t>eneral de Salud Pública y de</w:t>
      </w:r>
      <w:r w:rsidR="002B2CE8" w:rsidRPr="005360A6">
        <w:rPr>
          <w:rFonts w:ascii="Arial" w:hAnsi="Arial" w:cs="Arial"/>
          <w:sz w:val="20"/>
          <w:szCs w:val="20"/>
        </w:rPr>
        <w:t xml:space="preserve"> la Sección</w:t>
      </w:r>
      <w:r w:rsidR="00033184" w:rsidRPr="005360A6">
        <w:rPr>
          <w:rFonts w:ascii="Arial" w:hAnsi="Arial" w:cs="Arial"/>
          <w:sz w:val="20"/>
          <w:szCs w:val="20"/>
        </w:rPr>
        <w:t xml:space="preserve"> </w:t>
      </w:r>
      <w:r w:rsidR="002B2CE8" w:rsidRPr="005360A6">
        <w:rPr>
          <w:rFonts w:ascii="Arial" w:hAnsi="Arial" w:cs="Arial"/>
          <w:sz w:val="20"/>
          <w:szCs w:val="20"/>
        </w:rPr>
        <w:t xml:space="preserve">de Promoción de la Salud </w:t>
      </w:r>
      <w:r w:rsidR="00996135">
        <w:rPr>
          <w:rFonts w:ascii="Arial" w:hAnsi="Arial" w:cs="Arial"/>
          <w:sz w:val="20"/>
          <w:szCs w:val="20"/>
        </w:rPr>
        <w:t xml:space="preserve">y Salud Laboral </w:t>
      </w:r>
      <w:r w:rsidR="002B2CE8" w:rsidRPr="005360A6">
        <w:rPr>
          <w:rFonts w:ascii="Arial" w:hAnsi="Arial" w:cs="Arial"/>
          <w:sz w:val="20"/>
          <w:szCs w:val="20"/>
        </w:rPr>
        <w:t>del Servicio Territorial</w:t>
      </w:r>
      <w:r w:rsidR="00033184" w:rsidRPr="005360A6">
        <w:rPr>
          <w:rFonts w:ascii="Arial" w:hAnsi="Arial" w:cs="Arial"/>
          <w:sz w:val="20"/>
          <w:szCs w:val="20"/>
        </w:rPr>
        <w:t xml:space="preserve"> de Sanidad</w:t>
      </w:r>
      <w:r w:rsidR="002B2CE8" w:rsidRPr="005360A6">
        <w:rPr>
          <w:rFonts w:ascii="Arial" w:hAnsi="Arial" w:cs="Arial"/>
          <w:sz w:val="20"/>
          <w:szCs w:val="20"/>
        </w:rPr>
        <w:t xml:space="preserve"> correspondiente</w:t>
      </w:r>
      <w:r w:rsidR="00033184" w:rsidRPr="005360A6">
        <w:rPr>
          <w:rFonts w:ascii="Arial" w:hAnsi="Arial" w:cs="Arial"/>
          <w:sz w:val="20"/>
          <w:szCs w:val="20"/>
        </w:rPr>
        <w:t xml:space="preserve"> </w:t>
      </w:r>
      <w:r w:rsidRPr="005360A6">
        <w:rPr>
          <w:rFonts w:ascii="Arial" w:hAnsi="Arial" w:cs="Arial"/>
          <w:sz w:val="20"/>
          <w:szCs w:val="20"/>
        </w:rPr>
        <w:t>tendrá</w:t>
      </w:r>
      <w:r w:rsidR="00480A5C" w:rsidRPr="005360A6">
        <w:rPr>
          <w:rFonts w:ascii="Arial" w:hAnsi="Arial" w:cs="Arial"/>
          <w:sz w:val="20"/>
          <w:szCs w:val="20"/>
        </w:rPr>
        <w:t xml:space="preserve"> acceso a los datos en tanto sea pertinente para la </w:t>
      </w:r>
      <w:r w:rsidR="009A65F6" w:rsidRPr="005360A6">
        <w:rPr>
          <w:rFonts w:ascii="Arial" w:hAnsi="Arial" w:cs="Arial"/>
          <w:sz w:val="20"/>
          <w:szCs w:val="20"/>
        </w:rPr>
        <w:t xml:space="preserve">gestión del Programa. </w:t>
      </w:r>
      <w:r w:rsidR="003D129C" w:rsidRPr="005360A6">
        <w:rPr>
          <w:rFonts w:ascii="Arial" w:hAnsi="Arial" w:cs="Arial"/>
          <w:sz w:val="20"/>
          <w:szCs w:val="20"/>
        </w:rPr>
        <w:t>Asimismo, tendrá acceso a los resultados de los análisis el</w:t>
      </w:r>
      <w:r w:rsidR="008C6807" w:rsidRPr="005360A6">
        <w:rPr>
          <w:rFonts w:ascii="Arial" w:hAnsi="Arial" w:cs="Arial"/>
          <w:sz w:val="20"/>
          <w:szCs w:val="20"/>
        </w:rPr>
        <w:t xml:space="preserve"> profesi</w:t>
      </w:r>
      <w:r w:rsidRPr="005360A6">
        <w:rPr>
          <w:rFonts w:ascii="Arial" w:hAnsi="Arial" w:cs="Arial"/>
          <w:sz w:val="20"/>
          <w:szCs w:val="20"/>
        </w:rPr>
        <w:t>onal sanitario que lo</w:t>
      </w:r>
      <w:r w:rsidR="003D129C" w:rsidRPr="005360A6">
        <w:rPr>
          <w:rFonts w:ascii="Arial" w:hAnsi="Arial" w:cs="Arial"/>
          <w:sz w:val="20"/>
          <w:szCs w:val="20"/>
        </w:rPr>
        <w:t xml:space="preserve"> haya atendido</w:t>
      </w:r>
      <w:r w:rsidR="008C6807" w:rsidRPr="005360A6">
        <w:rPr>
          <w:rFonts w:ascii="Arial" w:hAnsi="Arial" w:cs="Arial"/>
          <w:sz w:val="20"/>
          <w:szCs w:val="20"/>
        </w:rPr>
        <w:t>.</w:t>
      </w:r>
    </w:p>
    <w:p w14:paraId="3108B921" w14:textId="36C39BFE" w:rsidR="008C6807" w:rsidRPr="005360A6" w:rsidRDefault="0012721F" w:rsidP="009A65F6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El personal que acceda a los datos genéticos en el ejercicio de sus funciones quedará sujeto al deber de secreto de forma permanente.</w:t>
      </w:r>
    </w:p>
    <w:p w14:paraId="09443020" w14:textId="77777777" w:rsidR="008C6807" w:rsidRPr="005360A6" w:rsidRDefault="008C6807">
      <w:pPr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br w:type="page"/>
      </w:r>
    </w:p>
    <w:p w14:paraId="7C38C622" w14:textId="36B302FF" w:rsidR="00B87235" w:rsidRPr="005360A6" w:rsidRDefault="005429D4" w:rsidP="009A65F6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lastRenderedPageBreak/>
        <w:t xml:space="preserve">Advertencia sobre </w:t>
      </w:r>
      <w:r w:rsidR="00B87235" w:rsidRPr="005360A6">
        <w:rPr>
          <w:rFonts w:ascii="Arial" w:hAnsi="Arial" w:cs="Arial"/>
          <w:b/>
          <w:sz w:val="20"/>
          <w:szCs w:val="20"/>
        </w:rPr>
        <w:t>la</w:t>
      </w:r>
      <w:r w:rsidRPr="005360A6">
        <w:rPr>
          <w:rFonts w:ascii="Arial" w:hAnsi="Arial" w:cs="Arial"/>
          <w:b/>
          <w:sz w:val="20"/>
          <w:szCs w:val="20"/>
        </w:rPr>
        <w:t xml:space="preserve"> posibilidad de descubrimiento inesperados y su posible trascendencia para el sujeto, así como sobre la facultad de este de tomar una posición en relación con recibir su comunicación</w:t>
      </w:r>
      <w:r w:rsidR="00B87235" w:rsidRPr="005360A6">
        <w:rPr>
          <w:rFonts w:ascii="Arial" w:hAnsi="Arial" w:cs="Arial"/>
          <w:b/>
          <w:sz w:val="20"/>
          <w:szCs w:val="20"/>
        </w:rPr>
        <w:t>.</w:t>
      </w:r>
    </w:p>
    <w:p w14:paraId="65CCCCA1" w14:textId="3950656A" w:rsidR="00A6308E" w:rsidRPr="00996135" w:rsidRDefault="00C95C6C" w:rsidP="009A65F6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>Solo se analizar</w:t>
      </w:r>
      <w:r w:rsidR="009A65F6" w:rsidRPr="00996135">
        <w:rPr>
          <w:rFonts w:ascii="Arial" w:hAnsi="Arial" w:cs="Arial"/>
          <w:sz w:val="20"/>
          <w:szCs w:val="20"/>
        </w:rPr>
        <w:t>á</w:t>
      </w:r>
      <w:r w:rsidR="00651145" w:rsidRPr="00996135">
        <w:rPr>
          <w:rFonts w:ascii="Arial" w:hAnsi="Arial" w:cs="Arial"/>
          <w:sz w:val="20"/>
          <w:szCs w:val="20"/>
        </w:rPr>
        <w:t>n</w:t>
      </w:r>
      <w:r w:rsidR="00F43209" w:rsidRPr="00996135">
        <w:rPr>
          <w:rFonts w:ascii="Arial" w:hAnsi="Arial" w:cs="Arial"/>
          <w:sz w:val="20"/>
          <w:szCs w:val="20"/>
        </w:rPr>
        <w:t xml:space="preserve"> los genes implicados en </w:t>
      </w:r>
      <w:r w:rsidR="00651145" w:rsidRPr="00996135">
        <w:rPr>
          <w:rFonts w:ascii="Arial" w:hAnsi="Arial" w:cs="Arial"/>
          <w:sz w:val="20"/>
          <w:szCs w:val="20"/>
        </w:rPr>
        <w:t>la</w:t>
      </w:r>
      <w:r w:rsidR="00F43209" w:rsidRPr="00996135">
        <w:rPr>
          <w:rFonts w:ascii="Arial" w:hAnsi="Arial" w:cs="Arial"/>
          <w:sz w:val="20"/>
          <w:szCs w:val="20"/>
        </w:rPr>
        <w:t xml:space="preserve"> Hipercolesterolemia Familiar</w:t>
      </w:r>
      <w:r w:rsidRPr="00996135">
        <w:rPr>
          <w:rFonts w:ascii="Arial" w:hAnsi="Arial" w:cs="Arial"/>
          <w:sz w:val="20"/>
          <w:szCs w:val="20"/>
        </w:rPr>
        <w:t>,</w:t>
      </w:r>
      <w:r w:rsidR="00F43209" w:rsidRPr="00996135">
        <w:rPr>
          <w:rFonts w:ascii="Arial" w:hAnsi="Arial" w:cs="Arial"/>
          <w:sz w:val="20"/>
          <w:szCs w:val="20"/>
        </w:rPr>
        <w:t xml:space="preserve"> </w:t>
      </w:r>
      <w:r w:rsidR="00651145" w:rsidRPr="00996135">
        <w:rPr>
          <w:rFonts w:ascii="Arial" w:hAnsi="Arial" w:cs="Arial"/>
          <w:sz w:val="20"/>
          <w:szCs w:val="20"/>
        </w:rPr>
        <w:t>por lo que no cabe la posibilidad de descubrimientos inesperados.</w:t>
      </w:r>
    </w:p>
    <w:p w14:paraId="4033E57D" w14:textId="579EA26F" w:rsidR="00A6308E" w:rsidRPr="005360A6" w:rsidRDefault="00A6308E" w:rsidP="00A6308E">
      <w:pPr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>Cabe la posibilidad de que,</w:t>
      </w:r>
      <w:r w:rsidRPr="00996135">
        <w:rPr>
          <w:sz w:val="20"/>
          <w:szCs w:val="20"/>
        </w:rPr>
        <w:t xml:space="preserve"> </w:t>
      </w:r>
      <w:r w:rsidRPr="00996135">
        <w:rPr>
          <w:rFonts w:ascii="Arial" w:hAnsi="Arial" w:cs="Arial"/>
          <w:sz w:val="20"/>
          <w:szCs w:val="20"/>
        </w:rPr>
        <w:t>como consecuencia de futura</w:t>
      </w:r>
      <w:r w:rsidR="00262E42">
        <w:rPr>
          <w:rFonts w:ascii="Arial" w:hAnsi="Arial" w:cs="Arial"/>
          <w:sz w:val="20"/>
          <w:szCs w:val="20"/>
        </w:rPr>
        <w:t>s</w:t>
      </w:r>
      <w:r w:rsidRPr="00996135">
        <w:rPr>
          <w:rFonts w:ascii="Arial" w:hAnsi="Arial" w:cs="Arial"/>
          <w:sz w:val="20"/>
          <w:szCs w:val="20"/>
        </w:rPr>
        <w:t xml:space="preserve"> investigaciones, se descubra la patogenia de genes que en la actualidad no se consideren patógenos. Sí un descubrimiento de esas características le afectara se le comunicaría oportunamente.</w:t>
      </w:r>
    </w:p>
    <w:p w14:paraId="4BCA158F" w14:textId="5D74EE4C" w:rsidR="00074387" w:rsidRPr="005360A6" w:rsidRDefault="005429D4" w:rsidP="003D129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Advertencia de la implicación que puede tener para sus familiares la información que se llegue a obtener y la conveniencia de que transmita dicha información a aquéllos</w:t>
      </w:r>
      <w:r w:rsidR="00B87235" w:rsidRPr="005360A6">
        <w:rPr>
          <w:rFonts w:ascii="Arial" w:hAnsi="Arial" w:cs="Arial"/>
          <w:b/>
          <w:sz w:val="20"/>
          <w:szCs w:val="20"/>
        </w:rPr>
        <w:t>.</w:t>
      </w:r>
      <w:r w:rsidRPr="005360A6">
        <w:rPr>
          <w:rFonts w:ascii="Arial" w:hAnsi="Arial" w:cs="Arial"/>
          <w:b/>
          <w:sz w:val="20"/>
          <w:szCs w:val="20"/>
        </w:rPr>
        <w:t xml:space="preserve"> </w:t>
      </w:r>
    </w:p>
    <w:p w14:paraId="42D27063" w14:textId="528FB21F" w:rsidR="003D129C" w:rsidRPr="005360A6" w:rsidRDefault="006A3CD6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Los análisis genéticos se realizan para la identificación </w:t>
      </w:r>
      <w:r w:rsidR="003D129C" w:rsidRPr="005360A6">
        <w:rPr>
          <w:rFonts w:ascii="Arial" w:hAnsi="Arial" w:cs="Arial"/>
          <w:sz w:val="20"/>
          <w:szCs w:val="20"/>
        </w:rPr>
        <w:t>de mutaciones de los genes causantes de la Hipercolesterolemia Familiar. Tanto los hijos como las hijas de las personas con Hipercolesterolemia Familiar tienen el 50% de probabilidades de recibir el gen anormal.</w:t>
      </w:r>
    </w:p>
    <w:p w14:paraId="7A274514" w14:textId="156BD594" w:rsidR="00E2321F" w:rsidRPr="005360A6" w:rsidRDefault="00A042E2" w:rsidP="00E2321F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Por eso</w:t>
      </w:r>
      <w:r w:rsidR="008C6807" w:rsidRPr="005360A6">
        <w:rPr>
          <w:rFonts w:ascii="Arial" w:hAnsi="Arial" w:cs="Arial"/>
          <w:sz w:val="20"/>
          <w:szCs w:val="20"/>
        </w:rPr>
        <w:t xml:space="preserve">, se advierte </w:t>
      </w:r>
      <w:r w:rsidR="006B1B3F" w:rsidRPr="005360A6">
        <w:rPr>
          <w:rFonts w:ascii="Arial" w:hAnsi="Arial" w:cs="Arial"/>
          <w:sz w:val="20"/>
          <w:szCs w:val="20"/>
        </w:rPr>
        <w:t xml:space="preserve">de </w:t>
      </w:r>
      <w:r w:rsidR="008C6807" w:rsidRPr="005360A6">
        <w:rPr>
          <w:rFonts w:ascii="Arial" w:hAnsi="Arial" w:cs="Arial"/>
          <w:sz w:val="20"/>
          <w:szCs w:val="20"/>
        </w:rPr>
        <w:t>que un diagnóstico de mutación genética</w:t>
      </w:r>
      <w:r w:rsidR="00E87FEF" w:rsidRPr="005360A6">
        <w:rPr>
          <w:rFonts w:ascii="Arial" w:hAnsi="Arial" w:cs="Arial"/>
          <w:sz w:val="20"/>
          <w:szCs w:val="20"/>
        </w:rPr>
        <w:t xml:space="preserve"> tiene</w:t>
      </w:r>
      <w:r w:rsidRPr="005360A6">
        <w:rPr>
          <w:rFonts w:ascii="Arial" w:hAnsi="Arial" w:cs="Arial"/>
          <w:sz w:val="20"/>
          <w:szCs w:val="20"/>
        </w:rPr>
        <w:t xml:space="preserve"> trascendencia para sus familiares</w:t>
      </w:r>
      <w:r w:rsidR="008C6807" w:rsidRPr="005360A6">
        <w:rPr>
          <w:rFonts w:ascii="Arial" w:hAnsi="Arial" w:cs="Arial"/>
          <w:sz w:val="20"/>
          <w:szCs w:val="20"/>
        </w:rPr>
        <w:t xml:space="preserve">, por lo que puede ser conveniente que </w:t>
      </w:r>
      <w:r w:rsidR="002B2CE8" w:rsidRPr="005360A6">
        <w:rPr>
          <w:rFonts w:ascii="Arial" w:hAnsi="Arial" w:cs="Arial"/>
          <w:sz w:val="20"/>
          <w:szCs w:val="20"/>
        </w:rPr>
        <w:t>les transmita la información</w:t>
      </w:r>
      <w:r w:rsidR="006B1B3F" w:rsidRPr="005360A6">
        <w:rPr>
          <w:rFonts w:ascii="Arial" w:hAnsi="Arial" w:cs="Arial"/>
          <w:sz w:val="20"/>
          <w:szCs w:val="20"/>
        </w:rPr>
        <w:t>,</w:t>
      </w:r>
      <w:r w:rsidR="008C6807" w:rsidRPr="005360A6">
        <w:rPr>
          <w:rFonts w:ascii="Arial" w:hAnsi="Arial" w:cs="Arial"/>
          <w:sz w:val="20"/>
          <w:szCs w:val="20"/>
        </w:rPr>
        <w:t xml:space="preserve"> así como la posibilidad de realizar una prueba en cascada familiar.</w:t>
      </w:r>
    </w:p>
    <w:p w14:paraId="21904216" w14:textId="38893B44" w:rsidR="001E1410" w:rsidRPr="005360A6" w:rsidRDefault="007453BD" w:rsidP="003D129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Compromiso</w:t>
      </w:r>
      <w:r w:rsidR="001E1410" w:rsidRPr="005360A6">
        <w:rPr>
          <w:rFonts w:ascii="Arial" w:hAnsi="Arial" w:cs="Arial"/>
          <w:b/>
          <w:sz w:val="20"/>
          <w:szCs w:val="20"/>
        </w:rPr>
        <w:t xml:space="preserve"> de suministrar consejo genético, una vez obtenidos y evaluados los resultados del análisis.</w:t>
      </w:r>
    </w:p>
    <w:p w14:paraId="4D75CCD1" w14:textId="7C2B079B" w:rsidR="00840E25" w:rsidRDefault="003D129C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El profesional sanitario que </w:t>
      </w:r>
      <w:r w:rsidR="008C6807" w:rsidRPr="005360A6">
        <w:rPr>
          <w:rFonts w:ascii="Arial" w:hAnsi="Arial" w:cs="Arial"/>
          <w:sz w:val="20"/>
          <w:szCs w:val="20"/>
        </w:rPr>
        <w:t>le comunique el resultado le informará sobre el alcance del mismo</w:t>
      </w:r>
      <w:r w:rsidR="00856E08" w:rsidRPr="005360A6">
        <w:rPr>
          <w:rFonts w:ascii="Arial" w:hAnsi="Arial" w:cs="Arial"/>
          <w:sz w:val="20"/>
          <w:szCs w:val="20"/>
        </w:rPr>
        <w:t>.</w:t>
      </w:r>
    </w:p>
    <w:p w14:paraId="19CFCBCF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3CA7979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9A2F66B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D42A16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55F3ED9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A84BD8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79B97A2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7297C0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C348B5F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6D3A790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CFEFF1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434C5F8" w14:textId="77777777" w:rsidR="00262E42" w:rsidRPr="005360A6" w:rsidRDefault="00262E42" w:rsidP="00262E42">
      <w:pPr>
        <w:spacing w:before="24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1F9C73D" w14:textId="7728D396" w:rsidR="00856E08" w:rsidRPr="005360A6" w:rsidRDefault="00856E08" w:rsidP="00E8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lastRenderedPageBreak/>
        <w:t xml:space="preserve">CONSENTIMIENTO INFORMADO PARA LA REALIZACIÓN DEL ESTUDIO GENÉTICO EN EL PROGRAMA DE DETECCIÓN PRECOZ DE </w:t>
      </w:r>
      <w:r w:rsidR="00262E42">
        <w:rPr>
          <w:rFonts w:ascii="Arial" w:hAnsi="Arial" w:cs="Arial"/>
          <w:b/>
          <w:sz w:val="20"/>
          <w:szCs w:val="20"/>
        </w:rPr>
        <w:t xml:space="preserve">LA </w:t>
      </w:r>
      <w:r w:rsidRPr="005360A6">
        <w:rPr>
          <w:rFonts w:ascii="Arial" w:hAnsi="Arial" w:cs="Arial"/>
          <w:b/>
          <w:sz w:val="20"/>
          <w:szCs w:val="20"/>
        </w:rPr>
        <w:t>HIPERCOLESTEROLEMIA FAMILIAR</w:t>
      </w:r>
    </w:p>
    <w:p w14:paraId="765D6120" w14:textId="77777777" w:rsidR="00856E08" w:rsidRPr="005360A6" w:rsidRDefault="00856E08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4F890EAB" w14:textId="5DCF4A68" w:rsidR="00856E08" w:rsidRPr="005360A6" w:rsidRDefault="00856E08" w:rsidP="00856E08">
      <w:pPr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De acuerdo con la información recibida CONSIENTO EXPRESAMENTE que se me realice el estudio genético de hipercolesterolemia familiar.</w:t>
      </w:r>
    </w:p>
    <w:p w14:paraId="580489F7" w14:textId="77777777" w:rsidR="00856E08" w:rsidRPr="005360A6" w:rsidRDefault="00856E08" w:rsidP="00856E0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0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95"/>
        <w:gridCol w:w="5610"/>
      </w:tblGrid>
      <w:tr w:rsidR="00856E08" w:rsidRPr="005360A6" w14:paraId="46A52B2F" w14:textId="77777777" w:rsidTr="00B60904">
        <w:tc>
          <w:tcPr>
            <w:tcW w:w="2895" w:type="dxa"/>
            <w:vAlign w:val="center"/>
          </w:tcPr>
          <w:p w14:paraId="412DAC63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  <w:tc>
          <w:tcPr>
            <w:tcW w:w="5610" w:type="dxa"/>
            <w:vAlign w:val="center"/>
          </w:tcPr>
          <w:p w14:paraId="103B1BC6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E85" w:rsidRPr="005360A6" w14:paraId="251027A2" w14:textId="77777777" w:rsidTr="00B60904">
        <w:tc>
          <w:tcPr>
            <w:tcW w:w="2895" w:type="dxa"/>
            <w:vAlign w:val="center"/>
          </w:tcPr>
          <w:p w14:paraId="2E5233FE" w14:textId="0ECA8804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DNI o Pasaporte</w:t>
            </w:r>
          </w:p>
        </w:tc>
        <w:tc>
          <w:tcPr>
            <w:tcW w:w="5610" w:type="dxa"/>
            <w:vAlign w:val="center"/>
          </w:tcPr>
          <w:p w14:paraId="22A16799" w14:textId="77777777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E85" w:rsidRPr="005360A6" w14:paraId="788ABA59" w14:textId="77777777" w:rsidTr="00B60904">
        <w:tc>
          <w:tcPr>
            <w:tcW w:w="2895" w:type="dxa"/>
            <w:vAlign w:val="center"/>
          </w:tcPr>
          <w:p w14:paraId="7AF97A95" w14:textId="0AD0B7A1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5610" w:type="dxa"/>
            <w:vAlign w:val="center"/>
          </w:tcPr>
          <w:p w14:paraId="4FE0A79B" w14:textId="77777777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E85" w:rsidRPr="005360A6" w14:paraId="47512378" w14:textId="77777777" w:rsidTr="00B60904">
        <w:tc>
          <w:tcPr>
            <w:tcW w:w="2895" w:type="dxa"/>
            <w:vAlign w:val="center"/>
          </w:tcPr>
          <w:p w14:paraId="177C5A2F" w14:textId="43C7190C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Número de teléfono</w:t>
            </w:r>
          </w:p>
        </w:tc>
        <w:tc>
          <w:tcPr>
            <w:tcW w:w="5610" w:type="dxa"/>
            <w:vAlign w:val="center"/>
          </w:tcPr>
          <w:p w14:paraId="189C82C3" w14:textId="77777777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08" w:rsidRPr="005360A6" w14:paraId="558EEAE9" w14:textId="77777777" w:rsidTr="00B60904">
        <w:tc>
          <w:tcPr>
            <w:tcW w:w="2895" w:type="dxa"/>
            <w:vAlign w:val="center"/>
          </w:tcPr>
          <w:p w14:paraId="49768304" w14:textId="1CD6082C" w:rsidR="00856E08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Parentesco o relación legal (solo en el caso de menores o incapacitados</w:t>
            </w:r>
            <w:r w:rsidR="00B60904">
              <w:rPr>
                <w:rFonts w:ascii="Arial" w:hAnsi="Arial" w:cs="Arial"/>
                <w:sz w:val="20"/>
                <w:szCs w:val="20"/>
              </w:rPr>
              <w:t>/as</w:t>
            </w:r>
            <w:r w:rsidRPr="005360A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10" w:type="dxa"/>
            <w:vAlign w:val="center"/>
          </w:tcPr>
          <w:p w14:paraId="628CFB3B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08" w:rsidRPr="005360A6" w14:paraId="2EE06504" w14:textId="77777777" w:rsidTr="00B60904">
        <w:tc>
          <w:tcPr>
            <w:tcW w:w="2895" w:type="dxa"/>
            <w:vAlign w:val="center"/>
          </w:tcPr>
          <w:p w14:paraId="66D6DCBC" w14:textId="77777777" w:rsidR="00856E08" w:rsidRPr="005360A6" w:rsidRDefault="00856E08" w:rsidP="00DC34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5BDF0E4F" w14:textId="77777777" w:rsidR="00856E08" w:rsidRPr="005360A6" w:rsidRDefault="00856E08" w:rsidP="00DC34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34C9C3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vAlign w:val="center"/>
          </w:tcPr>
          <w:p w14:paraId="5F2D083E" w14:textId="77777777" w:rsidR="00856E08" w:rsidRPr="005360A6" w:rsidRDefault="00856E08" w:rsidP="00DC34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DA21A86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08" w:rsidRPr="005360A6" w14:paraId="1B78D271" w14:textId="77777777" w:rsidTr="00B60904">
        <w:tc>
          <w:tcPr>
            <w:tcW w:w="2895" w:type="dxa"/>
            <w:vAlign w:val="center"/>
          </w:tcPr>
          <w:p w14:paraId="514CC480" w14:textId="77777777" w:rsidR="00B60904" w:rsidRDefault="00B60904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F847889" w14:textId="48110DD7" w:rsidR="00856E08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Lugar y fecha:</w:t>
            </w:r>
          </w:p>
          <w:p w14:paraId="7190183A" w14:textId="5A043C27" w:rsidR="00B60904" w:rsidRPr="005360A6" w:rsidRDefault="00B60904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vAlign w:val="center"/>
          </w:tcPr>
          <w:p w14:paraId="3FFE57BD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DF84B" w14:textId="77777777" w:rsidR="00856E08" w:rsidRPr="005360A6" w:rsidRDefault="00856E08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2745B174" w14:textId="3E108098" w:rsidR="00C761D9" w:rsidRPr="005360A6" w:rsidRDefault="00C761D9" w:rsidP="00C761D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Junto con la información previa al consentimiento para la realización de esta prueba recibo la información sobre el trat</w:t>
      </w:r>
      <w:r w:rsidR="00D41FC0">
        <w:rPr>
          <w:rFonts w:ascii="Arial" w:hAnsi="Arial" w:cs="Arial"/>
          <w:sz w:val="20"/>
          <w:szCs w:val="20"/>
        </w:rPr>
        <w:t>amiento de los datos personales.</w:t>
      </w:r>
    </w:p>
    <w:p w14:paraId="3B3F5F4B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09379345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50A5EB94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084B6615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4F97FAE3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1480A657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267A2336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36A58CA9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0811F229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3383BC4D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3FFAC667" w14:textId="77777777" w:rsidR="00840E25" w:rsidRPr="005360A6" w:rsidRDefault="00840E25" w:rsidP="00840E2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04" w:type="dxa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504"/>
      </w:tblGrid>
      <w:tr w:rsidR="00840E25" w:rsidRPr="005360A6" w14:paraId="3C9169BC" w14:textId="77777777" w:rsidTr="003F3BE5">
        <w:trPr>
          <w:jc w:val="center"/>
        </w:trPr>
        <w:tc>
          <w:tcPr>
            <w:tcW w:w="8504" w:type="dxa"/>
            <w:shd w:val="clear" w:color="auto" w:fill="E2EFD9" w:themeFill="accent6" w:themeFillTint="33"/>
            <w:vAlign w:val="center"/>
          </w:tcPr>
          <w:p w14:paraId="3F6C65FD" w14:textId="744A23A4" w:rsidR="00840E25" w:rsidRPr="005360A6" w:rsidRDefault="00840E25" w:rsidP="003F3BE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0A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SOLICITUD DE CANCELACIÓN DE LOS DATOS GENÉTICOS DE CARÁCTER PERSONAL OBTENIDOS POR LA PARTICIPACIÓN EN EL PROGRAMA DE DETECCIÓN PRECOZ DE </w:t>
            </w:r>
            <w:r w:rsidR="00262E42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5360A6">
              <w:rPr>
                <w:rFonts w:ascii="Arial" w:hAnsi="Arial" w:cs="Arial"/>
                <w:b/>
                <w:sz w:val="20"/>
                <w:szCs w:val="20"/>
              </w:rPr>
              <w:t>HIPERCOLESTEROLEMIA FAMILIAR</w:t>
            </w:r>
          </w:p>
        </w:tc>
      </w:tr>
    </w:tbl>
    <w:p w14:paraId="31922E6F" w14:textId="77777777" w:rsidR="00840E25" w:rsidRPr="005360A6" w:rsidRDefault="00840E25" w:rsidP="00840E25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500C29B2" w14:textId="77777777" w:rsidR="00840E25" w:rsidRPr="005360A6" w:rsidRDefault="00840E25" w:rsidP="00840E2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Con fecha ..…… de ..……………………….… de 20…., otorgué consentimiento para la realización de los estudios genéticos para la detección precoz de Hipercolesterolemia Familiar.</w:t>
      </w:r>
    </w:p>
    <w:p w14:paraId="7DA8758A" w14:textId="77777777" w:rsidR="00840E25" w:rsidRPr="005360A6" w:rsidRDefault="00840E25" w:rsidP="00840E2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Habiendo trascurrido el período de 5 años de obligada conservación de los datos personales, al amparo de lo establecido el artículo 52 .1 de la Ley 14/2007, de 3 De julio, de Investigación Biomédica, </w:t>
      </w:r>
    </w:p>
    <w:p w14:paraId="42B23435" w14:textId="77777777" w:rsidR="00840E25" w:rsidRPr="005360A6" w:rsidRDefault="00840E25" w:rsidP="00840E25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9899F82" w14:textId="77777777" w:rsidR="00840E25" w:rsidRPr="005360A6" w:rsidRDefault="00840E25" w:rsidP="00840E25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SOLICITO:</w:t>
      </w:r>
    </w:p>
    <w:p w14:paraId="3FB9184A" w14:textId="77777777" w:rsidR="00840E25" w:rsidRPr="005360A6" w:rsidRDefault="00840E25" w:rsidP="00840E2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La cancelación de los datos personales obtenidos de la participación en el referido programa de salud.</w:t>
      </w:r>
    </w:p>
    <w:p w14:paraId="48FB4E08" w14:textId="77777777" w:rsidR="00C71037" w:rsidRPr="005360A6" w:rsidRDefault="00C71037" w:rsidP="00840E2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C1D49A" w14:textId="77777777" w:rsidR="00C71037" w:rsidRPr="005360A6" w:rsidRDefault="00C71037" w:rsidP="00C7103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0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95"/>
        <w:gridCol w:w="5610"/>
      </w:tblGrid>
      <w:tr w:rsidR="00C71037" w:rsidRPr="005360A6" w14:paraId="58AB5DC7" w14:textId="77777777" w:rsidTr="003F3BE5">
        <w:tc>
          <w:tcPr>
            <w:tcW w:w="2895" w:type="dxa"/>
          </w:tcPr>
          <w:p w14:paraId="7105F3E1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  <w:tc>
          <w:tcPr>
            <w:tcW w:w="5610" w:type="dxa"/>
          </w:tcPr>
          <w:p w14:paraId="0C69FA13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2ED259E0" w14:textId="77777777" w:rsidTr="003F3BE5">
        <w:tc>
          <w:tcPr>
            <w:tcW w:w="2895" w:type="dxa"/>
          </w:tcPr>
          <w:p w14:paraId="413981F2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DNI o Pasaporte</w:t>
            </w:r>
          </w:p>
        </w:tc>
        <w:tc>
          <w:tcPr>
            <w:tcW w:w="5610" w:type="dxa"/>
          </w:tcPr>
          <w:p w14:paraId="563AF4E8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0CFD0E7C" w14:textId="77777777" w:rsidTr="003F3BE5">
        <w:tc>
          <w:tcPr>
            <w:tcW w:w="2895" w:type="dxa"/>
          </w:tcPr>
          <w:p w14:paraId="56CEA7F0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5610" w:type="dxa"/>
          </w:tcPr>
          <w:p w14:paraId="510D798E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0AE19E3D" w14:textId="77777777" w:rsidTr="003F3BE5">
        <w:tc>
          <w:tcPr>
            <w:tcW w:w="2895" w:type="dxa"/>
          </w:tcPr>
          <w:p w14:paraId="632172FA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Número de teléfono</w:t>
            </w:r>
          </w:p>
        </w:tc>
        <w:tc>
          <w:tcPr>
            <w:tcW w:w="5610" w:type="dxa"/>
          </w:tcPr>
          <w:p w14:paraId="1544C90C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1ECC3885" w14:textId="77777777" w:rsidTr="003F3BE5">
        <w:tc>
          <w:tcPr>
            <w:tcW w:w="2895" w:type="dxa"/>
          </w:tcPr>
          <w:p w14:paraId="0C804B93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Parentesco o relación legal (solo en el caso de menores o incapacitados)</w:t>
            </w:r>
          </w:p>
        </w:tc>
        <w:tc>
          <w:tcPr>
            <w:tcW w:w="5610" w:type="dxa"/>
          </w:tcPr>
          <w:p w14:paraId="30E00FD5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5CDFE647" w14:textId="77777777" w:rsidTr="003F3BE5">
        <w:tc>
          <w:tcPr>
            <w:tcW w:w="2895" w:type="dxa"/>
          </w:tcPr>
          <w:p w14:paraId="1BA10D80" w14:textId="77777777" w:rsidR="00C71037" w:rsidRPr="005360A6" w:rsidRDefault="00C71037" w:rsidP="003F3B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0C8FB069" w14:textId="77777777" w:rsidR="00C71037" w:rsidRPr="005360A6" w:rsidRDefault="00C71037" w:rsidP="003F3B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5DAFC48" w14:textId="77777777" w:rsidR="00C71037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6F5580" w14:textId="091B42B6" w:rsidR="00B60904" w:rsidRPr="005360A6" w:rsidRDefault="00B60904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</w:tcPr>
          <w:p w14:paraId="6D3019E4" w14:textId="77777777" w:rsidR="00C71037" w:rsidRPr="005360A6" w:rsidRDefault="00C71037" w:rsidP="003F3B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95E2C8C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1EFB617F" w14:textId="77777777" w:rsidTr="003F3BE5">
        <w:tc>
          <w:tcPr>
            <w:tcW w:w="2895" w:type="dxa"/>
          </w:tcPr>
          <w:p w14:paraId="14920F75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Lugar y fecha:</w:t>
            </w:r>
          </w:p>
        </w:tc>
        <w:tc>
          <w:tcPr>
            <w:tcW w:w="5610" w:type="dxa"/>
          </w:tcPr>
          <w:p w14:paraId="32E502AF" w14:textId="77777777" w:rsidR="00C71037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67B0EE" w14:textId="6D0D50E3" w:rsidR="00B60904" w:rsidRPr="005360A6" w:rsidRDefault="00B60904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D8001B" w14:textId="77777777" w:rsidR="00C71037" w:rsidRPr="005360A6" w:rsidRDefault="00C71037" w:rsidP="00C71037">
      <w:pPr>
        <w:jc w:val="center"/>
        <w:rPr>
          <w:rFonts w:ascii="Arial" w:hAnsi="Arial" w:cs="Arial"/>
          <w:b/>
          <w:sz w:val="20"/>
          <w:szCs w:val="20"/>
        </w:rPr>
      </w:pPr>
    </w:p>
    <w:p w14:paraId="7588E3C5" w14:textId="77777777" w:rsidR="00C71037" w:rsidRPr="005360A6" w:rsidRDefault="00C71037" w:rsidP="00C71037">
      <w:pPr>
        <w:jc w:val="center"/>
        <w:rPr>
          <w:rFonts w:ascii="Arial" w:hAnsi="Arial" w:cs="Arial"/>
          <w:b/>
          <w:sz w:val="20"/>
          <w:szCs w:val="20"/>
        </w:rPr>
      </w:pPr>
    </w:p>
    <w:p w14:paraId="63265049" w14:textId="77777777" w:rsidR="00840E25" w:rsidRDefault="00840E25" w:rsidP="00C71037">
      <w:pPr>
        <w:rPr>
          <w:rFonts w:ascii="Arial" w:hAnsi="Arial" w:cs="Arial"/>
          <w:b/>
          <w:sz w:val="20"/>
          <w:szCs w:val="20"/>
        </w:rPr>
      </w:pPr>
    </w:p>
    <w:p w14:paraId="4FE2FEA0" w14:textId="77777777" w:rsidR="00840E25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7DDE44A9" w14:textId="77777777" w:rsidR="00C71037" w:rsidRDefault="00C71037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7E26883E" w14:textId="77777777" w:rsidR="00C761D9" w:rsidRDefault="00C761D9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52FD008E" w14:textId="77777777" w:rsidR="00C71037" w:rsidRDefault="00C71037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524F0E80" w14:textId="77777777" w:rsidR="00840E25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6281A353" w14:textId="5B46380C" w:rsidR="00E87FEF" w:rsidRPr="00EF1DD1" w:rsidRDefault="00E87FEF" w:rsidP="0099613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E2EFD9" w:themeFill="accent6" w:themeFillTint="33"/>
        <w:spacing w:before="120"/>
        <w:ind w:left="-108"/>
        <w:jc w:val="center"/>
        <w:rPr>
          <w:rFonts w:ascii="Arial" w:hAnsi="Arial" w:cs="Arial"/>
          <w:b/>
          <w:szCs w:val="18"/>
        </w:rPr>
      </w:pPr>
      <w:r w:rsidRPr="00EF1DD1">
        <w:rPr>
          <w:rFonts w:ascii="Arial" w:hAnsi="Arial" w:cs="Arial"/>
          <w:b/>
          <w:sz w:val="20"/>
        </w:rPr>
        <w:lastRenderedPageBreak/>
        <w:t xml:space="preserve">INFORMACIÓN SOBRE </w:t>
      </w:r>
      <w:r w:rsidR="00262E42">
        <w:rPr>
          <w:rFonts w:ascii="Arial" w:hAnsi="Arial" w:cs="Arial"/>
          <w:b/>
          <w:sz w:val="20"/>
        </w:rPr>
        <w:t xml:space="preserve">EL </w:t>
      </w:r>
      <w:r w:rsidRPr="00EF1DD1">
        <w:rPr>
          <w:rFonts w:ascii="Arial" w:hAnsi="Arial" w:cs="Arial"/>
          <w:b/>
          <w:sz w:val="20"/>
        </w:rPr>
        <w:t>TRATAMIENTO DE DATOS PERSONALES</w:t>
      </w:r>
    </w:p>
    <w:tbl>
      <w:tblPr>
        <w:tblStyle w:val="Tablaconcuadrcula"/>
        <w:tblW w:w="1020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3"/>
        <w:gridCol w:w="7654"/>
      </w:tblGrid>
      <w:tr w:rsidR="00B9127B" w:rsidRPr="00420D79" w14:paraId="45FADD5C" w14:textId="77777777" w:rsidTr="00DB7387">
        <w:trPr>
          <w:trHeight w:val="384"/>
          <w:jc w:val="center"/>
        </w:trPr>
        <w:tc>
          <w:tcPr>
            <w:tcW w:w="10207" w:type="dxa"/>
            <w:gridSpan w:val="2"/>
            <w:vAlign w:val="center"/>
          </w:tcPr>
          <w:p w14:paraId="49B883A5" w14:textId="77777777" w:rsidR="00B9127B" w:rsidRPr="00420D79" w:rsidRDefault="00B9127B" w:rsidP="00DB7387">
            <w:pPr>
              <w:spacing w:before="60" w:after="60"/>
              <w:jc w:val="center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INFORMACIÓN SOBRE TRATAMIENTO DE DATOS PERSONALES</w:t>
            </w:r>
          </w:p>
          <w:p w14:paraId="469F2B28" w14:textId="77777777" w:rsidR="00B9127B" w:rsidRPr="00420D79" w:rsidRDefault="00B9127B" w:rsidP="00DB7387">
            <w:pPr>
              <w:spacing w:before="60" w:after="60"/>
              <w:jc w:val="both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Reglamento (UE) 2016/679 del Parlamento Europeo y del Consejo, de 27 de abril de 2016, relativo a la protección de las personas físicas en lo que respecta al tratamiento de datos personales y a la libre circulación de estos datos (RGPD)</w:t>
            </w:r>
          </w:p>
          <w:p w14:paraId="63476BAE" w14:textId="77777777" w:rsidR="00B9127B" w:rsidRPr="00420D79" w:rsidRDefault="00B9127B" w:rsidP="00DB7387">
            <w:pPr>
              <w:spacing w:before="60" w:after="60"/>
              <w:jc w:val="center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PROGRAMA DE DETECCIÓN PRECOZ HIPERCOLESTEROLEMIA FAMILIAR</w:t>
            </w:r>
          </w:p>
        </w:tc>
      </w:tr>
      <w:tr w:rsidR="00B9127B" w:rsidRPr="00420D79" w14:paraId="23DC5316" w14:textId="77777777" w:rsidTr="00DB7387">
        <w:tblPrEx>
          <w:tblLook w:val="04A0" w:firstRow="1" w:lastRow="0" w:firstColumn="1" w:lastColumn="0" w:noHBand="0" w:noVBand="1"/>
        </w:tblPrEx>
        <w:trPr>
          <w:trHeight w:val="1269"/>
          <w:jc w:val="center"/>
        </w:trPr>
        <w:tc>
          <w:tcPr>
            <w:tcW w:w="2553" w:type="dxa"/>
            <w:vAlign w:val="center"/>
          </w:tcPr>
          <w:p w14:paraId="440AE285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Responsable del tratamiento</w:t>
            </w:r>
          </w:p>
        </w:tc>
        <w:tc>
          <w:tcPr>
            <w:tcW w:w="7654" w:type="dxa"/>
            <w:vAlign w:val="center"/>
          </w:tcPr>
          <w:p w14:paraId="70A0E8D2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>Dirección General de Salud Pública. Consejería de Sanidad</w:t>
            </w:r>
          </w:p>
          <w:p w14:paraId="6810BEB1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 xml:space="preserve">Dirección postal: </w:t>
            </w:r>
            <w:r w:rsidRPr="00420D79">
              <w:rPr>
                <w:sz w:val="20"/>
              </w:rPr>
              <w:tab/>
              <w:t>Paseo de Zorrilla 1, 47007 Valladolid</w:t>
            </w:r>
          </w:p>
          <w:p w14:paraId="6570769F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>Teléfono:</w:t>
            </w:r>
            <w:r w:rsidRPr="00420D79">
              <w:rPr>
                <w:sz w:val="20"/>
              </w:rPr>
              <w:tab/>
            </w:r>
            <w:r w:rsidRPr="00420D79">
              <w:rPr>
                <w:sz w:val="20"/>
              </w:rPr>
              <w:tab/>
              <w:t>983 41 3600</w:t>
            </w:r>
          </w:p>
          <w:p w14:paraId="2683A84D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 xml:space="preserve">Correo electrónico: </w:t>
            </w:r>
            <w:r w:rsidRPr="00420D79">
              <w:rPr>
                <w:sz w:val="20"/>
              </w:rPr>
              <w:tab/>
            </w:r>
            <w:hyperlink r:id="rId8" w:history="1">
              <w:r w:rsidRPr="00420D79">
                <w:rPr>
                  <w:rStyle w:val="Hipervnculo"/>
                  <w:sz w:val="20"/>
                </w:rPr>
                <w:t>protecciondatos.dgsp.sanidad@jcyl.es</w:t>
              </w:r>
            </w:hyperlink>
          </w:p>
        </w:tc>
      </w:tr>
      <w:tr w:rsidR="00B9127B" w:rsidRPr="00420D79" w14:paraId="6D5363BD" w14:textId="77777777" w:rsidTr="00DB7387">
        <w:tblPrEx>
          <w:tblLook w:val="04A0" w:firstRow="1" w:lastRow="0" w:firstColumn="1" w:lastColumn="0" w:noHBand="0" w:noVBand="1"/>
        </w:tblPrEx>
        <w:trPr>
          <w:trHeight w:val="733"/>
          <w:jc w:val="center"/>
        </w:trPr>
        <w:tc>
          <w:tcPr>
            <w:tcW w:w="2553" w:type="dxa"/>
            <w:vAlign w:val="center"/>
          </w:tcPr>
          <w:p w14:paraId="566C46E9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Delegado/a de Protección de Datos</w:t>
            </w:r>
          </w:p>
        </w:tc>
        <w:tc>
          <w:tcPr>
            <w:tcW w:w="7654" w:type="dxa"/>
            <w:vAlign w:val="center"/>
          </w:tcPr>
          <w:p w14:paraId="12E94345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 xml:space="preserve">Teléfono: </w:t>
            </w:r>
            <w:r w:rsidRPr="00420D79">
              <w:rPr>
                <w:sz w:val="20"/>
              </w:rPr>
              <w:tab/>
            </w:r>
            <w:r w:rsidRPr="00420D79">
              <w:rPr>
                <w:sz w:val="20"/>
              </w:rPr>
              <w:tab/>
              <w:t>983 41 36 00 Extensión 806333</w:t>
            </w:r>
          </w:p>
          <w:p w14:paraId="19C673C1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 xml:space="preserve">Correo electrónico:  </w:t>
            </w:r>
            <w:r w:rsidRPr="00420D79">
              <w:rPr>
                <w:sz w:val="20"/>
              </w:rPr>
              <w:tab/>
            </w:r>
            <w:hyperlink r:id="rId9" w:history="1">
              <w:r w:rsidRPr="00420D79">
                <w:rPr>
                  <w:rStyle w:val="Hipervnculo"/>
                  <w:sz w:val="20"/>
                </w:rPr>
                <w:t>dpd.sanidad@jcyl.es</w:t>
              </w:r>
            </w:hyperlink>
            <w:r w:rsidRPr="00420D79">
              <w:rPr>
                <w:sz w:val="20"/>
              </w:rPr>
              <w:t xml:space="preserve">    </w:t>
            </w:r>
          </w:p>
        </w:tc>
      </w:tr>
      <w:tr w:rsidR="00B9127B" w:rsidRPr="00420D79" w14:paraId="255CE45B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33264571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Fines del tratamiento</w:t>
            </w:r>
          </w:p>
        </w:tc>
        <w:tc>
          <w:tcPr>
            <w:tcW w:w="7654" w:type="dxa"/>
          </w:tcPr>
          <w:p w14:paraId="5E42DC96" w14:textId="77777777" w:rsidR="00B9127B" w:rsidRPr="00420D79" w:rsidRDefault="00B9127B" w:rsidP="00B9127B">
            <w:pPr>
              <w:pStyle w:val="Prrafodelista"/>
              <w:numPr>
                <w:ilvl w:val="0"/>
                <w:numId w:val="16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420D79">
              <w:rPr>
                <w:sz w:val="20"/>
              </w:rPr>
              <w:t>Determinación de alteraciones genéticas relacionadas con la hipercolesterolemia familiar. Consejo genético.</w:t>
            </w:r>
          </w:p>
          <w:p w14:paraId="46154CD8" w14:textId="77777777" w:rsidR="00B9127B" w:rsidRDefault="00B9127B" w:rsidP="00B9127B">
            <w:pPr>
              <w:pStyle w:val="Prrafodelista"/>
              <w:numPr>
                <w:ilvl w:val="0"/>
                <w:numId w:val="16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420D79">
              <w:rPr>
                <w:sz w:val="20"/>
              </w:rPr>
              <w:t>Gestión y control sanitario del programa.</w:t>
            </w:r>
          </w:p>
          <w:p w14:paraId="3A31D8F4" w14:textId="77777777" w:rsidR="00B9127B" w:rsidRPr="005D0979" w:rsidRDefault="00B9127B" w:rsidP="00B9127B">
            <w:pPr>
              <w:pStyle w:val="Prrafodelista"/>
              <w:numPr>
                <w:ilvl w:val="0"/>
                <w:numId w:val="16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5D0979">
              <w:rPr>
                <w:sz w:val="20"/>
              </w:rPr>
              <w:t>Los datos personales podrán ser tratados para fines de investigación en salud</w:t>
            </w:r>
          </w:p>
        </w:tc>
      </w:tr>
      <w:tr w:rsidR="00B9127B" w:rsidRPr="00420D79" w14:paraId="43CF5151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77B1371F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Plazo de conservación de los datos</w:t>
            </w:r>
          </w:p>
        </w:tc>
        <w:tc>
          <w:tcPr>
            <w:tcW w:w="7654" w:type="dxa"/>
          </w:tcPr>
          <w:p w14:paraId="649C85B6" w14:textId="77777777" w:rsidR="00B9127B" w:rsidRPr="00D41FC0" w:rsidRDefault="00B9127B" w:rsidP="00B9127B">
            <w:pPr>
              <w:pStyle w:val="Prrafodelista"/>
              <w:numPr>
                <w:ilvl w:val="0"/>
                <w:numId w:val="17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D41FC0">
              <w:rPr>
                <w:sz w:val="20"/>
              </w:rPr>
              <w:t>Se conservarán durante un período mínimo de 5 años, trascurrido el cual el interesado podrá solicitar su cancelación.</w:t>
            </w:r>
          </w:p>
          <w:p w14:paraId="63C29538" w14:textId="77777777" w:rsidR="00B9127B" w:rsidRPr="00D41FC0" w:rsidRDefault="00B9127B" w:rsidP="00B9127B">
            <w:pPr>
              <w:pStyle w:val="Prrafodelista"/>
              <w:numPr>
                <w:ilvl w:val="0"/>
                <w:numId w:val="17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D41FC0">
              <w:rPr>
                <w:sz w:val="20"/>
              </w:rPr>
              <w:t>Si no se solicita la cancelación, los datos se conservarán durante el tiempo necesario para preservar la salud de la persona interesada o de terceros relacionados con ella.</w:t>
            </w:r>
          </w:p>
          <w:p w14:paraId="3AE37A15" w14:textId="0F9942EC" w:rsidR="00B9127B" w:rsidRPr="00420D79" w:rsidRDefault="00996135" w:rsidP="00B9127B">
            <w:pPr>
              <w:pStyle w:val="Prrafodelista"/>
              <w:numPr>
                <w:ilvl w:val="0"/>
                <w:numId w:val="17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D41FC0">
              <w:rPr>
                <w:sz w:val="18"/>
                <w:szCs w:val="18"/>
              </w:rPr>
              <w:t>Fuera de los anteriores supuestos los datos únicamente podrán conservarse, con fines de investigación en un Biobanco previo consentimiento del interesado</w:t>
            </w:r>
          </w:p>
        </w:tc>
      </w:tr>
      <w:tr w:rsidR="00B9127B" w:rsidRPr="00420D79" w14:paraId="6D28C351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036F7A87" w14:textId="5FC1D7B2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Legitimación</w:t>
            </w:r>
            <w:r>
              <w:rPr>
                <w:b/>
                <w:sz w:val="20"/>
              </w:rPr>
              <w:t xml:space="preserve"> del tratamiento</w:t>
            </w:r>
          </w:p>
        </w:tc>
        <w:tc>
          <w:tcPr>
            <w:tcW w:w="7654" w:type="dxa"/>
          </w:tcPr>
          <w:p w14:paraId="66BC484F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9.2 a) del RGPD, consentimiento del interesado</w:t>
            </w:r>
          </w:p>
          <w:p w14:paraId="602EF289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9 2 h) del RGPD, diagnóstico médico, prestación de asistencia sanitaria.</w:t>
            </w:r>
          </w:p>
          <w:p w14:paraId="041B6AEF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9 2 i) del RGPD, interés público en el ámbito de la salud pública</w:t>
            </w:r>
          </w:p>
          <w:p w14:paraId="2AE1FB4A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9 2 j) del RGPD, investigación científica e histórica y estadística</w:t>
            </w:r>
          </w:p>
          <w:p w14:paraId="3A71FCA8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Artículos 48 y 58.2 de la Ley 14/2007, de 3 de julio, de Investigación Biomédica, consentimiento para análisis genético y para utilización de muestras con fines de investigación.</w:t>
            </w:r>
          </w:p>
          <w:p w14:paraId="41F68A67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20 de la Ley 33/2011, de 4 de octubre, General de Salud Pública, realización de cribados</w:t>
            </w:r>
          </w:p>
          <w:p w14:paraId="2A28754D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6 de la Ley 10/2010, de 27 de septiembre, de Salud Pública y Seguridad Alimentaria de Castilla y León, protección y promoción de la salud.</w:t>
            </w:r>
          </w:p>
        </w:tc>
      </w:tr>
      <w:tr w:rsidR="00B9127B" w:rsidRPr="00420D79" w14:paraId="1035289D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4FD9EB0B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Comunicación de los datos por el interesado</w:t>
            </w:r>
          </w:p>
        </w:tc>
        <w:tc>
          <w:tcPr>
            <w:tcW w:w="7654" w:type="dxa"/>
          </w:tcPr>
          <w:p w14:paraId="7FEF08E5" w14:textId="4D7DDCB1" w:rsidR="00B9127B" w:rsidRPr="00996135" w:rsidRDefault="00B9127B" w:rsidP="00DB7387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La comunicación de los datos es necesaria para participar en el programa</w:t>
            </w:r>
            <w:r w:rsidR="00996135">
              <w:rPr>
                <w:rFonts w:ascii="Calibri" w:hAnsi="Calibri"/>
                <w:sz w:val="20"/>
              </w:rPr>
              <w:t>.</w:t>
            </w:r>
          </w:p>
        </w:tc>
      </w:tr>
      <w:tr w:rsidR="00B9127B" w:rsidRPr="00420D79" w14:paraId="538FAAB4" w14:textId="77777777" w:rsidTr="00DB7387">
        <w:tblPrEx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2553" w:type="dxa"/>
            <w:vAlign w:val="center"/>
          </w:tcPr>
          <w:p w14:paraId="6263C668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Destinatarios/categorías de destinatarios</w:t>
            </w:r>
          </w:p>
        </w:tc>
        <w:tc>
          <w:tcPr>
            <w:tcW w:w="7654" w:type="dxa"/>
          </w:tcPr>
          <w:p w14:paraId="75E159A5" w14:textId="77777777" w:rsidR="00996135" w:rsidRPr="00D41FC0" w:rsidRDefault="00996135" w:rsidP="00996135">
            <w:pPr>
              <w:suppressAutoHyphens/>
              <w:jc w:val="both"/>
              <w:rPr>
                <w:sz w:val="18"/>
                <w:szCs w:val="18"/>
              </w:rPr>
            </w:pPr>
            <w:r w:rsidRPr="00D41FC0">
              <w:rPr>
                <w:sz w:val="18"/>
                <w:szCs w:val="18"/>
              </w:rPr>
              <w:t>No se cederán datos a terceros, salvo obligación legal.</w:t>
            </w:r>
          </w:p>
          <w:p w14:paraId="51CD7F0B" w14:textId="61390E9E" w:rsidR="00B9127B" w:rsidRPr="00420D79" w:rsidRDefault="00996135" w:rsidP="00996135">
            <w:pPr>
              <w:spacing w:before="60" w:after="60"/>
              <w:jc w:val="both"/>
              <w:rPr>
                <w:sz w:val="20"/>
              </w:rPr>
            </w:pPr>
            <w:r w:rsidRPr="00D41FC0">
              <w:rPr>
                <w:sz w:val="18"/>
                <w:szCs w:val="18"/>
              </w:rPr>
              <w:t xml:space="preserve">La utilización de muestras con fines de investigación requerirá siempre el consentimiento de interesado, se proceda o no a su </w:t>
            </w:r>
            <w:proofErr w:type="spellStart"/>
            <w:r w:rsidRPr="00D41FC0">
              <w:rPr>
                <w:sz w:val="18"/>
                <w:szCs w:val="18"/>
              </w:rPr>
              <w:t>anonimización</w:t>
            </w:r>
            <w:proofErr w:type="spellEnd"/>
            <w:r w:rsidRPr="00D41FC0">
              <w:rPr>
                <w:sz w:val="18"/>
                <w:szCs w:val="18"/>
              </w:rPr>
              <w:t>, en los términos previstos en el artículo 58.2 de la Ley 14/2007, de 3 de julio de Investigación biomédica.</w:t>
            </w:r>
          </w:p>
        </w:tc>
      </w:tr>
      <w:tr w:rsidR="00B9127B" w:rsidRPr="00420D79" w14:paraId="30D4AF28" w14:textId="77777777" w:rsidTr="00DB7387">
        <w:tblPrEx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2553" w:type="dxa"/>
            <w:vAlign w:val="center"/>
          </w:tcPr>
          <w:p w14:paraId="49948FD6" w14:textId="7BA851E9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lastRenderedPageBreak/>
              <w:t>Transferencias de datos a terceros países u</w:t>
            </w:r>
            <w:r w:rsidR="00996135">
              <w:rPr>
                <w:b/>
                <w:sz w:val="20"/>
              </w:rPr>
              <w:t xml:space="preserve"> organizaciones internacionales</w:t>
            </w:r>
          </w:p>
        </w:tc>
        <w:tc>
          <w:tcPr>
            <w:tcW w:w="7654" w:type="dxa"/>
          </w:tcPr>
          <w:p w14:paraId="635ED36A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</w:p>
          <w:p w14:paraId="47E17F12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420D79">
              <w:rPr>
                <w:sz w:val="20"/>
              </w:rPr>
              <w:t xml:space="preserve">No están previstas </w:t>
            </w:r>
          </w:p>
        </w:tc>
      </w:tr>
      <w:tr w:rsidR="00B9127B" w:rsidRPr="00420D79" w14:paraId="5944F0E4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25D89F5D" w14:textId="70883DE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Derechos</w:t>
            </w:r>
          </w:p>
        </w:tc>
        <w:tc>
          <w:tcPr>
            <w:tcW w:w="7654" w:type="dxa"/>
          </w:tcPr>
          <w:p w14:paraId="02667FE4" w14:textId="77777777" w:rsidR="00B9127B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7F64F0">
              <w:rPr>
                <w:sz w:val="20"/>
              </w:rPr>
              <w:t>Puede ejercitar sus derechos de acceso, rectificación, supresión y portabilidad de sus datos, de limitación y oposición a su tratamiento, así como a no ser objeto de decisiones basadas únicamente en el tratamiento automatizado de sus datos, cuando procedan, a través de los siguientes canales:</w:t>
            </w:r>
          </w:p>
          <w:p w14:paraId="3144FDC9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420D79">
              <w:rPr>
                <w:sz w:val="20"/>
              </w:rPr>
              <w:t xml:space="preserve">Correo electrónico: </w:t>
            </w:r>
            <w:hyperlink r:id="rId10" w:history="1">
              <w:r w:rsidRPr="00420D79">
                <w:rPr>
                  <w:rStyle w:val="Hipervnculo"/>
                  <w:sz w:val="20"/>
                </w:rPr>
                <w:t>protecciondatos.dgsp.sanidad@jcyl.es</w:t>
              </w:r>
            </w:hyperlink>
            <w:r w:rsidRPr="00420D79">
              <w:rPr>
                <w:sz w:val="20"/>
              </w:rPr>
              <w:t xml:space="preserve"> </w:t>
            </w:r>
          </w:p>
          <w:p w14:paraId="3EC8C517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420D79">
              <w:rPr>
                <w:sz w:val="20"/>
              </w:rPr>
              <w:t>Correo postal: Dirección General de Salud Pública. Paseo de Zorrilla 1, 47007 Valladolid</w:t>
            </w:r>
          </w:p>
          <w:p w14:paraId="373DCF42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420D79">
              <w:rPr>
                <w:sz w:val="20"/>
              </w:rPr>
              <w:t>También puede reclamar ante la Agencia Española de Protección de Datos, mediante escrito a la dirección: C/ Jorge Juan 6, 28001 Madrid, o a través de su Web: www.agpd.es</w:t>
            </w:r>
          </w:p>
        </w:tc>
      </w:tr>
      <w:tr w:rsidR="00B9127B" w:rsidRPr="00420D79" w14:paraId="3C3887E3" w14:textId="77777777" w:rsidTr="00DB7387">
        <w:tblPrEx>
          <w:tblLook w:val="04A0" w:firstRow="1" w:lastRow="0" w:firstColumn="1" w:lastColumn="0" w:noHBand="0" w:noVBand="1"/>
        </w:tblPrEx>
        <w:trPr>
          <w:trHeight w:val="391"/>
          <w:jc w:val="center"/>
        </w:trPr>
        <w:tc>
          <w:tcPr>
            <w:tcW w:w="2553" w:type="dxa"/>
            <w:vAlign w:val="center"/>
          </w:tcPr>
          <w:p w14:paraId="44DA3378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Decisiones automatizadas/ elaboración de perfiles</w:t>
            </w:r>
          </w:p>
        </w:tc>
        <w:tc>
          <w:tcPr>
            <w:tcW w:w="7654" w:type="dxa"/>
            <w:vAlign w:val="center"/>
          </w:tcPr>
          <w:p w14:paraId="01F557DE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>No están previstas decisiones automatizadas ni elaboración de perfiles</w:t>
            </w:r>
          </w:p>
        </w:tc>
      </w:tr>
    </w:tbl>
    <w:p w14:paraId="4566D1E4" w14:textId="638134F7" w:rsidR="00C95C6C" w:rsidRPr="005360A6" w:rsidRDefault="00C95C6C" w:rsidP="00FD73F1">
      <w:pPr>
        <w:jc w:val="both"/>
        <w:rPr>
          <w:rFonts w:ascii="Arial" w:hAnsi="Arial" w:cs="Arial"/>
        </w:rPr>
      </w:pPr>
    </w:p>
    <w:p w14:paraId="36564802" w14:textId="615D1C21" w:rsidR="00FD73F1" w:rsidRPr="005360A6" w:rsidRDefault="00FD73F1">
      <w:pPr>
        <w:rPr>
          <w:rFonts w:ascii="Arial" w:hAnsi="Arial" w:cs="Arial"/>
        </w:rPr>
      </w:pPr>
    </w:p>
    <w:sectPr w:rsidR="00FD73F1" w:rsidRPr="005360A6" w:rsidSect="00785251">
      <w:headerReference w:type="default" r:id="rId11"/>
      <w:footerReference w:type="default" r:id="rId12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5EE14" w14:textId="77777777" w:rsidR="00992AC5" w:rsidRDefault="00992AC5" w:rsidP="00536EBC">
      <w:pPr>
        <w:spacing w:after="0" w:line="240" w:lineRule="auto"/>
      </w:pPr>
      <w:r>
        <w:separator/>
      </w:r>
    </w:p>
  </w:endnote>
  <w:endnote w:type="continuationSeparator" w:id="0">
    <w:p w14:paraId="079841AF" w14:textId="77777777" w:rsidR="00992AC5" w:rsidRDefault="00992AC5" w:rsidP="0053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92178"/>
      <w:docPartObj>
        <w:docPartGallery w:val="Page Numbers (Bottom of Page)"/>
        <w:docPartUnique/>
      </w:docPartObj>
    </w:sdtPr>
    <w:sdtEndPr/>
    <w:sdtContent>
      <w:p w14:paraId="513C4077" w14:textId="0544C828" w:rsidR="005360A6" w:rsidRDefault="005360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42">
          <w:rPr>
            <w:noProof/>
          </w:rPr>
          <w:t>7</w:t>
        </w:r>
        <w:r>
          <w:fldChar w:fldCharType="end"/>
        </w:r>
      </w:p>
    </w:sdtContent>
  </w:sdt>
  <w:p w14:paraId="2B9B0ABD" w14:textId="77777777" w:rsidR="005360A6" w:rsidRDefault="005360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E470C" w14:textId="77777777" w:rsidR="00992AC5" w:rsidRDefault="00992AC5" w:rsidP="00536EBC">
      <w:pPr>
        <w:spacing w:after="0" w:line="240" w:lineRule="auto"/>
      </w:pPr>
      <w:r>
        <w:separator/>
      </w:r>
    </w:p>
  </w:footnote>
  <w:footnote w:type="continuationSeparator" w:id="0">
    <w:p w14:paraId="7D2527DE" w14:textId="77777777" w:rsidR="00992AC5" w:rsidRDefault="00992AC5" w:rsidP="0053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2CF2F" w14:textId="10A2DA1E" w:rsidR="008F29FF" w:rsidRDefault="008F29FF">
    <w:pPr>
      <w:pStyle w:val="Encabezado"/>
    </w:pPr>
    <w:r>
      <w:rPr>
        <w:noProof/>
        <w:lang w:eastAsia="es-ES"/>
      </w:rPr>
      <w:drawing>
        <wp:inline distT="0" distB="0" distL="0" distR="0" wp14:anchorId="52965EFB" wp14:editId="6DC691DB">
          <wp:extent cx="1971675" cy="8572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57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567F"/>
    <w:multiLevelType w:val="hybridMultilevel"/>
    <w:tmpl w:val="3C726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765D"/>
    <w:multiLevelType w:val="hybridMultilevel"/>
    <w:tmpl w:val="20F0E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7D9C"/>
    <w:multiLevelType w:val="hybridMultilevel"/>
    <w:tmpl w:val="6954234A"/>
    <w:lvl w:ilvl="0" w:tplc="1D361D1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6978"/>
    <w:multiLevelType w:val="hybridMultilevel"/>
    <w:tmpl w:val="021673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504BD"/>
    <w:multiLevelType w:val="hybridMultilevel"/>
    <w:tmpl w:val="0A60611C"/>
    <w:lvl w:ilvl="0" w:tplc="C6600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36975"/>
    <w:multiLevelType w:val="multilevel"/>
    <w:tmpl w:val="E5268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 w:hint="default"/>
      </w:rPr>
    </w:lvl>
  </w:abstractNum>
  <w:abstractNum w:abstractNumId="6" w15:restartNumberingAfterBreak="0">
    <w:nsid w:val="2C5D3461"/>
    <w:multiLevelType w:val="hybridMultilevel"/>
    <w:tmpl w:val="360E44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52F7F"/>
    <w:multiLevelType w:val="hybridMultilevel"/>
    <w:tmpl w:val="90D27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5046C"/>
    <w:multiLevelType w:val="hybridMultilevel"/>
    <w:tmpl w:val="1E04EC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73EE6"/>
    <w:multiLevelType w:val="hybridMultilevel"/>
    <w:tmpl w:val="A0265F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7ABF"/>
    <w:multiLevelType w:val="hybridMultilevel"/>
    <w:tmpl w:val="8812B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5575"/>
    <w:multiLevelType w:val="hybridMultilevel"/>
    <w:tmpl w:val="FE06F1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16F"/>
    <w:multiLevelType w:val="hybridMultilevel"/>
    <w:tmpl w:val="7C42651C"/>
    <w:lvl w:ilvl="0" w:tplc="2D6CD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144"/>
    <w:multiLevelType w:val="hybridMultilevel"/>
    <w:tmpl w:val="4FC00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92AB4"/>
    <w:multiLevelType w:val="hybridMultilevel"/>
    <w:tmpl w:val="10085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852A4"/>
    <w:multiLevelType w:val="hybridMultilevel"/>
    <w:tmpl w:val="320C61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77284"/>
    <w:multiLevelType w:val="hybridMultilevel"/>
    <w:tmpl w:val="EFDEC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C1E14"/>
    <w:multiLevelType w:val="hybridMultilevel"/>
    <w:tmpl w:val="4D901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6"/>
  </w:num>
  <w:num w:numId="5">
    <w:abstractNumId w:val="12"/>
  </w:num>
  <w:num w:numId="6">
    <w:abstractNumId w:val="14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17"/>
  </w:num>
  <w:num w:numId="12">
    <w:abstractNumId w:val="3"/>
  </w:num>
  <w:num w:numId="13">
    <w:abstractNumId w:val="8"/>
  </w:num>
  <w:num w:numId="14">
    <w:abstractNumId w:val="11"/>
  </w:num>
  <w:num w:numId="15">
    <w:abstractNumId w:val="5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B0"/>
    <w:rsid w:val="0002352C"/>
    <w:rsid w:val="00033184"/>
    <w:rsid w:val="00063453"/>
    <w:rsid w:val="00063E96"/>
    <w:rsid w:val="00074387"/>
    <w:rsid w:val="000934CE"/>
    <w:rsid w:val="000C472C"/>
    <w:rsid w:val="000D2969"/>
    <w:rsid w:val="000F210A"/>
    <w:rsid w:val="0010460D"/>
    <w:rsid w:val="0011340E"/>
    <w:rsid w:val="0012721F"/>
    <w:rsid w:val="00191C70"/>
    <w:rsid w:val="001B28D7"/>
    <w:rsid w:val="001E1410"/>
    <w:rsid w:val="001F1B17"/>
    <w:rsid w:val="002111E6"/>
    <w:rsid w:val="00230360"/>
    <w:rsid w:val="00230653"/>
    <w:rsid w:val="00262E42"/>
    <w:rsid w:val="002B2CE8"/>
    <w:rsid w:val="002B51B2"/>
    <w:rsid w:val="002C685C"/>
    <w:rsid w:val="002F236E"/>
    <w:rsid w:val="003341E2"/>
    <w:rsid w:val="00354E85"/>
    <w:rsid w:val="00364D00"/>
    <w:rsid w:val="00376004"/>
    <w:rsid w:val="00394D82"/>
    <w:rsid w:val="003B06BF"/>
    <w:rsid w:val="003D129C"/>
    <w:rsid w:val="003F7FC8"/>
    <w:rsid w:val="004304EE"/>
    <w:rsid w:val="004577AD"/>
    <w:rsid w:val="004653FD"/>
    <w:rsid w:val="00470CA5"/>
    <w:rsid w:val="00474180"/>
    <w:rsid w:val="00480A5C"/>
    <w:rsid w:val="004843AF"/>
    <w:rsid w:val="004869F7"/>
    <w:rsid w:val="004C011A"/>
    <w:rsid w:val="004E078A"/>
    <w:rsid w:val="00527635"/>
    <w:rsid w:val="00531B77"/>
    <w:rsid w:val="005360A6"/>
    <w:rsid w:val="00536EBC"/>
    <w:rsid w:val="005429D4"/>
    <w:rsid w:val="00550990"/>
    <w:rsid w:val="00571C1A"/>
    <w:rsid w:val="00605AD6"/>
    <w:rsid w:val="006132F2"/>
    <w:rsid w:val="006219DC"/>
    <w:rsid w:val="00651145"/>
    <w:rsid w:val="00682325"/>
    <w:rsid w:val="0069204B"/>
    <w:rsid w:val="00695AD2"/>
    <w:rsid w:val="006A3CD6"/>
    <w:rsid w:val="006B0AA5"/>
    <w:rsid w:val="006B1B3F"/>
    <w:rsid w:val="006D6497"/>
    <w:rsid w:val="006E6A7D"/>
    <w:rsid w:val="007453BD"/>
    <w:rsid w:val="00785251"/>
    <w:rsid w:val="007C5996"/>
    <w:rsid w:val="007D6279"/>
    <w:rsid w:val="007E4B9A"/>
    <w:rsid w:val="007F64F0"/>
    <w:rsid w:val="00800817"/>
    <w:rsid w:val="00807072"/>
    <w:rsid w:val="00840E25"/>
    <w:rsid w:val="00841C16"/>
    <w:rsid w:val="00847E2D"/>
    <w:rsid w:val="008561DC"/>
    <w:rsid w:val="00856E08"/>
    <w:rsid w:val="008A13B4"/>
    <w:rsid w:val="008A51C7"/>
    <w:rsid w:val="008C6807"/>
    <w:rsid w:val="008D6BA7"/>
    <w:rsid w:val="008F29FF"/>
    <w:rsid w:val="00914530"/>
    <w:rsid w:val="009167AA"/>
    <w:rsid w:val="009511B0"/>
    <w:rsid w:val="00952ADD"/>
    <w:rsid w:val="009927A1"/>
    <w:rsid w:val="00992AC5"/>
    <w:rsid w:val="00996135"/>
    <w:rsid w:val="009A3951"/>
    <w:rsid w:val="009A65F6"/>
    <w:rsid w:val="009B5296"/>
    <w:rsid w:val="009D61EE"/>
    <w:rsid w:val="009F3897"/>
    <w:rsid w:val="009F4910"/>
    <w:rsid w:val="00A042E2"/>
    <w:rsid w:val="00A308A3"/>
    <w:rsid w:val="00A44DAB"/>
    <w:rsid w:val="00A6308E"/>
    <w:rsid w:val="00A80845"/>
    <w:rsid w:val="00A95062"/>
    <w:rsid w:val="00B268B2"/>
    <w:rsid w:val="00B53489"/>
    <w:rsid w:val="00B60904"/>
    <w:rsid w:val="00B66121"/>
    <w:rsid w:val="00B87235"/>
    <w:rsid w:val="00B9127B"/>
    <w:rsid w:val="00BA1752"/>
    <w:rsid w:val="00C135E7"/>
    <w:rsid w:val="00C57D0B"/>
    <w:rsid w:val="00C71037"/>
    <w:rsid w:val="00C761D9"/>
    <w:rsid w:val="00C93C0A"/>
    <w:rsid w:val="00C95C6C"/>
    <w:rsid w:val="00CA5210"/>
    <w:rsid w:val="00CC2414"/>
    <w:rsid w:val="00CF2EC0"/>
    <w:rsid w:val="00D130A6"/>
    <w:rsid w:val="00D324B1"/>
    <w:rsid w:val="00D41FC0"/>
    <w:rsid w:val="00D441D0"/>
    <w:rsid w:val="00D54CEC"/>
    <w:rsid w:val="00D87DDA"/>
    <w:rsid w:val="00DB7AAC"/>
    <w:rsid w:val="00E023A5"/>
    <w:rsid w:val="00E12ABA"/>
    <w:rsid w:val="00E2321F"/>
    <w:rsid w:val="00E55308"/>
    <w:rsid w:val="00E565AA"/>
    <w:rsid w:val="00E5798F"/>
    <w:rsid w:val="00E87FEF"/>
    <w:rsid w:val="00E95068"/>
    <w:rsid w:val="00EB6223"/>
    <w:rsid w:val="00EC71B3"/>
    <w:rsid w:val="00F43209"/>
    <w:rsid w:val="00F81041"/>
    <w:rsid w:val="00F908F8"/>
    <w:rsid w:val="00FD4877"/>
    <w:rsid w:val="00FD73F1"/>
    <w:rsid w:val="00FD77FE"/>
    <w:rsid w:val="00FE5CA5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C6E31"/>
  <w15:docId w15:val="{3513871E-6FA2-4982-8CDF-2CDBA5C4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36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506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36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EBC"/>
  </w:style>
  <w:style w:type="paragraph" w:styleId="Piedepgina">
    <w:name w:val="footer"/>
    <w:basedOn w:val="Normal"/>
    <w:link w:val="PiedepginaCar"/>
    <w:uiPriority w:val="99"/>
    <w:unhideWhenUsed/>
    <w:rsid w:val="00536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BC"/>
  </w:style>
  <w:style w:type="paragraph" w:styleId="Textodeglobo">
    <w:name w:val="Balloon Text"/>
    <w:basedOn w:val="Normal"/>
    <w:link w:val="TextodegloboCar"/>
    <w:uiPriority w:val="99"/>
    <w:semiHidden/>
    <w:unhideWhenUsed/>
    <w:rsid w:val="001B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8D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111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11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11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11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11E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2352C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7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.dgsp.sanidad@jcyl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ecciondatos.dgsp.sanidad@jcyl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.sanidad@jcyl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14DF-79F7-44C8-BC95-B76CC761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1669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Casas Noriega</dc:creator>
  <cp:lastModifiedBy>Maria Teresa Jimenez Lopez</cp:lastModifiedBy>
  <cp:revision>8</cp:revision>
  <cp:lastPrinted>2019-01-10T12:52:00Z</cp:lastPrinted>
  <dcterms:created xsi:type="dcterms:W3CDTF">2021-06-14T11:01:00Z</dcterms:created>
  <dcterms:modified xsi:type="dcterms:W3CDTF">2021-06-17T17:14:00Z</dcterms:modified>
</cp:coreProperties>
</file>