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C4F52" w14:textId="77777777" w:rsidR="00FD12B4" w:rsidRPr="008B534F" w:rsidRDefault="00FD12B4" w:rsidP="00FD12B4">
      <w:pPr>
        <w:pStyle w:val="Ttulo1"/>
        <w:jc w:val="center"/>
        <w:rPr>
          <w:b/>
        </w:rPr>
      </w:pPr>
      <w:r w:rsidRPr="008B534F">
        <w:rPr>
          <w:b/>
        </w:rPr>
        <w:t>Estudio DEL COVID-19 Y OTRAS INFECCIONES RESPIRATORIAS AGUDAS</w:t>
      </w:r>
    </w:p>
    <w:p w14:paraId="65FBD547" w14:textId="1BE48537" w:rsidR="00FD12B4" w:rsidRPr="003D41D1" w:rsidRDefault="00FD12B4" w:rsidP="00FD12B4">
      <w:pPr>
        <w:spacing w:after="120" w:line="240" w:lineRule="auto"/>
        <w:jc w:val="center"/>
        <w:rPr>
          <w:b/>
          <w:bCs/>
          <w:szCs w:val="24"/>
        </w:rPr>
      </w:pPr>
      <w:r w:rsidRPr="003D41D1">
        <w:rPr>
          <w:b/>
          <w:bCs/>
          <w:szCs w:val="24"/>
        </w:rPr>
        <w:t>Médicos de familia y médicos pediatras de</w:t>
      </w:r>
      <w:r w:rsidR="00F36357">
        <w:rPr>
          <w:b/>
          <w:bCs/>
          <w:szCs w:val="24"/>
        </w:rPr>
        <w:t xml:space="preserve"> la Red Centinela San</w:t>
      </w:r>
      <w:r w:rsidR="008B201D">
        <w:rPr>
          <w:b/>
          <w:bCs/>
          <w:szCs w:val="24"/>
        </w:rPr>
        <w:t>it</w:t>
      </w:r>
      <w:r w:rsidR="00F36357">
        <w:rPr>
          <w:b/>
          <w:bCs/>
          <w:szCs w:val="24"/>
        </w:rPr>
        <w:t>aria de Castilla y León</w:t>
      </w:r>
    </w:p>
    <w:p w14:paraId="0931F27E" w14:textId="77777777" w:rsidR="00844935" w:rsidRDefault="00FD12B4" w:rsidP="00FD12B4">
      <w:pPr>
        <w:rPr>
          <w:color w:val="1F497D"/>
        </w:rPr>
      </w:pPr>
      <w:r>
        <w:rPr>
          <w:rFonts w:cs="Arial"/>
          <w:lang w:val="es-ES_tradnl"/>
        </w:rPr>
        <w:t xml:space="preserve">Contacto:  </w:t>
      </w:r>
      <w:hyperlink r:id="rId7" w:history="1">
        <w:r w:rsidRPr="005F43B6">
          <w:rPr>
            <w:rStyle w:val="Hipervnculo"/>
            <w:rFonts w:cs="Arial"/>
            <w:lang w:val="es-ES_tradnl"/>
          </w:rPr>
          <w:t>redcentinela@jcyl.es</w:t>
        </w:r>
      </w:hyperlink>
    </w:p>
    <w:p w14:paraId="5C307C40" w14:textId="77777777" w:rsidR="002C2325" w:rsidRDefault="002C2325" w:rsidP="002C2325">
      <w:pPr>
        <w:pStyle w:val="Ttulo1"/>
      </w:pPr>
      <w:r>
        <w:t xml:space="preserve">NOTA 3. </w:t>
      </w:r>
      <w:r w:rsidRPr="00FD12B4">
        <w:t>Nuevos criterios de notificación</w:t>
      </w:r>
    </w:p>
    <w:tbl>
      <w:tblPr>
        <w:tblStyle w:val="Tablaconcuadrcula"/>
        <w:tblW w:w="9923" w:type="dxa"/>
        <w:tblInd w:w="-147" w:type="dxa"/>
        <w:shd w:val="clear" w:color="auto" w:fill="FFD966" w:themeFill="accent4" w:themeFillTint="99"/>
        <w:tblLook w:val="04A0" w:firstRow="1" w:lastRow="0" w:firstColumn="1" w:lastColumn="0" w:noHBand="0" w:noVBand="1"/>
      </w:tblPr>
      <w:tblGrid>
        <w:gridCol w:w="9923"/>
      </w:tblGrid>
      <w:tr w:rsidR="00140943" w:rsidRPr="00E32583" w14:paraId="74F56F50" w14:textId="77777777" w:rsidTr="00DD5CFB">
        <w:tc>
          <w:tcPr>
            <w:tcW w:w="9923" w:type="dxa"/>
            <w:shd w:val="clear" w:color="auto" w:fill="FFD966" w:themeFill="accent4" w:themeFillTint="99"/>
          </w:tcPr>
          <w:p w14:paraId="4B1B9118" w14:textId="77777777" w:rsidR="00140943" w:rsidRDefault="00140943" w:rsidP="00C7357C">
            <w:pPr>
              <w:spacing w:after="0"/>
              <w:rPr>
                <w:b/>
                <w:bCs/>
                <w:i/>
                <w:iCs/>
              </w:rPr>
            </w:pPr>
            <w:r>
              <w:rPr>
                <w:b/>
                <w:bCs/>
                <w:i/>
                <w:iCs/>
              </w:rPr>
              <w:t>PUNTOS CLAVE:</w:t>
            </w:r>
          </w:p>
          <w:p w14:paraId="7B9A2A7E" w14:textId="06DDFB59" w:rsidR="00140943" w:rsidRDefault="00140943" w:rsidP="00C7357C">
            <w:pPr>
              <w:spacing w:after="0"/>
              <w:rPr>
                <w:b/>
                <w:bCs/>
                <w:i/>
                <w:iCs/>
              </w:rPr>
            </w:pPr>
            <w:r>
              <w:rPr>
                <w:b/>
                <w:bCs/>
                <w:i/>
                <w:iCs/>
              </w:rPr>
              <w:t>1.</w:t>
            </w:r>
            <w:r w:rsidR="00AB4E80">
              <w:rPr>
                <w:b/>
                <w:bCs/>
                <w:i/>
                <w:iCs/>
              </w:rPr>
              <w:t>-</w:t>
            </w:r>
            <w:r>
              <w:rPr>
                <w:b/>
                <w:bCs/>
                <w:i/>
                <w:iCs/>
              </w:rPr>
              <w:t xml:space="preserve"> Cada caso nuevo de IRA será registrado </w:t>
            </w:r>
            <w:r w:rsidRPr="00AD1B9C">
              <w:rPr>
                <w:b/>
                <w:bCs/>
                <w:i/>
                <w:iCs/>
                <w:u w:val="single"/>
              </w:rPr>
              <w:t>solo una vez</w:t>
            </w:r>
            <w:r>
              <w:rPr>
                <w:b/>
                <w:bCs/>
                <w:i/>
                <w:iCs/>
              </w:rPr>
              <w:t>,</w:t>
            </w:r>
            <w:r w:rsidR="00FD6102">
              <w:rPr>
                <w:b/>
                <w:bCs/>
                <w:i/>
                <w:iCs/>
              </w:rPr>
              <w:t xml:space="preserve"> como </w:t>
            </w:r>
            <w:r w:rsidR="0069307C">
              <w:rPr>
                <w:b/>
                <w:bCs/>
                <w:i/>
                <w:iCs/>
              </w:rPr>
              <w:t>enfermedad poa coronavirus</w:t>
            </w:r>
            <w:r w:rsidR="00FD6102">
              <w:rPr>
                <w:b/>
                <w:bCs/>
                <w:i/>
                <w:iCs/>
              </w:rPr>
              <w:t xml:space="preserve"> o como otro </w:t>
            </w:r>
            <w:r w:rsidR="00DD5CFB">
              <w:rPr>
                <w:b/>
                <w:bCs/>
                <w:i/>
                <w:iCs/>
              </w:rPr>
              <w:t>proceso de IRA de los descritos en la tabla</w:t>
            </w:r>
            <w:r w:rsidR="0069307C">
              <w:rPr>
                <w:b/>
                <w:bCs/>
                <w:i/>
                <w:iCs/>
              </w:rPr>
              <w:t xml:space="preserve"> 1</w:t>
            </w:r>
            <w:r w:rsidR="00DD5CFB">
              <w:rPr>
                <w:b/>
                <w:bCs/>
                <w:i/>
                <w:iCs/>
              </w:rPr>
              <w:t xml:space="preserve"> </w:t>
            </w:r>
            <w:r w:rsidR="0069307C">
              <w:rPr>
                <w:b/>
                <w:bCs/>
                <w:i/>
                <w:iCs/>
              </w:rPr>
              <w:t>al final de este documento</w:t>
            </w:r>
            <w:r w:rsidR="00DD5CFB">
              <w:rPr>
                <w:b/>
                <w:bCs/>
                <w:i/>
                <w:iCs/>
              </w:rPr>
              <w:t xml:space="preserve">. </w:t>
            </w:r>
          </w:p>
          <w:p w14:paraId="645D2FBD" w14:textId="0ECDCE44" w:rsidR="00140943" w:rsidRDefault="00140943" w:rsidP="00140943">
            <w:pPr>
              <w:spacing w:after="0"/>
              <w:rPr>
                <w:b/>
                <w:bCs/>
                <w:i/>
                <w:iCs/>
              </w:rPr>
            </w:pPr>
            <w:r>
              <w:rPr>
                <w:b/>
                <w:bCs/>
                <w:i/>
                <w:iCs/>
              </w:rPr>
              <w:t>2</w:t>
            </w:r>
            <w:r w:rsidR="00AB4E80">
              <w:rPr>
                <w:b/>
                <w:bCs/>
                <w:i/>
                <w:iCs/>
              </w:rPr>
              <w:t>.</w:t>
            </w:r>
            <w:r>
              <w:rPr>
                <w:b/>
                <w:bCs/>
                <w:i/>
                <w:iCs/>
              </w:rPr>
              <w:t xml:space="preserve">- Activar </w:t>
            </w:r>
            <w:r w:rsidR="00DD5CFB">
              <w:rPr>
                <w:b/>
                <w:bCs/>
                <w:i/>
                <w:iCs/>
              </w:rPr>
              <w:t xml:space="preserve">y cumplimentar </w:t>
            </w:r>
            <w:r>
              <w:rPr>
                <w:b/>
                <w:bCs/>
                <w:i/>
                <w:iCs/>
              </w:rPr>
              <w:t>la Guía asistencial e IRA por cada proceso clínico de IRA (incluida la Covid-19)</w:t>
            </w:r>
          </w:p>
          <w:p w14:paraId="65FD4B30" w14:textId="456F893F" w:rsidR="009C692D" w:rsidRDefault="00140943" w:rsidP="00140943">
            <w:pPr>
              <w:spacing w:after="0"/>
              <w:rPr>
                <w:b/>
                <w:bCs/>
                <w:i/>
                <w:iCs/>
              </w:rPr>
            </w:pPr>
            <w:r>
              <w:rPr>
                <w:b/>
                <w:bCs/>
                <w:i/>
                <w:iCs/>
              </w:rPr>
              <w:t>3</w:t>
            </w:r>
            <w:r w:rsidR="00AB4E80">
              <w:rPr>
                <w:b/>
                <w:bCs/>
                <w:i/>
                <w:iCs/>
              </w:rPr>
              <w:t>.</w:t>
            </w:r>
            <w:r>
              <w:rPr>
                <w:b/>
                <w:bCs/>
                <w:i/>
                <w:iCs/>
              </w:rPr>
              <w:t>- Realizar toma de frotis</w:t>
            </w:r>
            <w:r w:rsidR="00FD6102">
              <w:rPr>
                <w:b/>
                <w:bCs/>
                <w:i/>
                <w:iCs/>
              </w:rPr>
              <w:t>,</w:t>
            </w:r>
            <w:r>
              <w:rPr>
                <w:b/>
                <w:bCs/>
                <w:i/>
                <w:iCs/>
              </w:rPr>
              <w:t xml:space="preserve"> </w:t>
            </w:r>
            <w:r w:rsidR="00AB4E80">
              <w:rPr>
                <w:b/>
                <w:bCs/>
                <w:i/>
                <w:iCs/>
              </w:rPr>
              <w:t>para confirmación de Covid-19</w:t>
            </w:r>
            <w:r w:rsidR="00FD6102">
              <w:rPr>
                <w:b/>
                <w:bCs/>
                <w:i/>
                <w:iCs/>
              </w:rPr>
              <w:t xml:space="preserve"> si es el caso, y </w:t>
            </w:r>
            <w:r w:rsidR="00AB4E80">
              <w:rPr>
                <w:b/>
                <w:bCs/>
                <w:i/>
                <w:iCs/>
              </w:rPr>
              <w:t xml:space="preserve"> </w:t>
            </w:r>
            <w:r w:rsidR="009C692D">
              <w:rPr>
                <w:b/>
                <w:bCs/>
                <w:i/>
                <w:iCs/>
              </w:rPr>
              <w:t>para “estudio de Salud Pública”</w:t>
            </w:r>
            <w:r w:rsidR="00FD6102">
              <w:rPr>
                <w:b/>
                <w:bCs/>
                <w:i/>
                <w:iCs/>
              </w:rPr>
              <w:t xml:space="preserve"> de acuerdo con el protocolo para los médicos y pediatras de vigilancia de la gripe.</w:t>
            </w:r>
          </w:p>
          <w:p w14:paraId="413A4EFF" w14:textId="78173381" w:rsidR="009C692D" w:rsidRPr="003D41D1" w:rsidRDefault="009C692D" w:rsidP="009C692D">
            <w:pPr>
              <w:spacing w:after="0"/>
              <w:rPr>
                <w:b/>
                <w:bCs/>
                <w:i/>
                <w:iCs/>
              </w:rPr>
            </w:pPr>
            <w:r>
              <w:rPr>
                <w:b/>
                <w:bCs/>
                <w:i/>
                <w:iCs/>
              </w:rPr>
              <w:t>4.-</w:t>
            </w:r>
            <w:r w:rsidR="00140943">
              <w:rPr>
                <w:b/>
                <w:bCs/>
                <w:i/>
                <w:iCs/>
              </w:rPr>
              <w:t xml:space="preserve"> Cambiar proceso clínico</w:t>
            </w:r>
            <w:r>
              <w:rPr>
                <w:b/>
                <w:bCs/>
                <w:i/>
                <w:iCs/>
              </w:rPr>
              <w:t xml:space="preserve"> de acuerdo con el resultado</w:t>
            </w:r>
            <w:r w:rsidR="0069307C">
              <w:rPr>
                <w:b/>
                <w:bCs/>
                <w:i/>
                <w:iCs/>
              </w:rPr>
              <w:t xml:space="preserve"> de la prueba de la PCR</w:t>
            </w:r>
            <w:r>
              <w:rPr>
                <w:b/>
                <w:bCs/>
                <w:i/>
                <w:iCs/>
              </w:rPr>
              <w:t xml:space="preserve"> y completar, en su caso,  la Guía de notificación de caso confirmado </w:t>
            </w:r>
            <w:r w:rsidR="0069307C">
              <w:rPr>
                <w:b/>
                <w:bCs/>
                <w:i/>
                <w:iCs/>
              </w:rPr>
              <w:t xml:space="preserve">de </w:t>
            </w:r>
            <w:r>
              <w:rPr>
                <w:b/>
                <w:bCs/>
                <w:i/>
                <w:iCs/>
              </w:rPr>
              <w:t>Covid-19</w:t>
            </w:r>
            <w:r w:rsidR="00140943">
              <w:rPr>
                <w:b/>
                <w:bCs/>
                <w:i/>
                <w:iCs/>
              </w:rPr>
              <w:t>.</w:t>
            </w:r>
          </w:p>
        </w:tc>
      </w:tr>
    </w:tbl>
    <w:p w14:paraId="721B2946" w14:textId="77777777" w:rsidR="00DD5CFB" w:rsidRDefault="00DD5CFB" w:rsidP="005D71B8">
      <w:pPr>
        <w:jc w:val="both"/>
      </w:pPr>
    </w:p>
    <w:p w14:paraId="02A4E3C4" w14:textId="77777777" w:rsidR="0020498B" w:rsidRPr="00FD12B4" w:rsidRDefault="008569AA" w:rsidP="005D71B8">
      <w:pPr>
        <w:jc w:val="both"/>
      </w:pPr>
      <w:r w:rsidRPr="00FD12B4">
        <w:t xml:space="preserve">Como </w:t>
      </w:r>
      <w:r w:rsidR="005B4F10">
        <w:t>se recoge en</w:t>
      </w:r>
      <w:r w:rsidRPr="00FD12B4">
        <w:t xml:space="preserve"> el </w:t>
      </w:r>
      <w:r w:rsidR="005B4F10" w:rsidRPr="005B4F10">
        <w:t xml:space="preserve">Boletín nº </w:t>
      </w:r>
      <w:r w:rsidR="005B4F10">
        <w:t>3</w:t>
      </w:r>
      <w:r w:rsidR="005B4F10" w:rsidRPr="005B4F10">
        <w:t xml:space="preserve"> (2020) </w:t>
      </w:r>
      <w:r w:rsidR="005B4F10">
        <w:t>de la RCS</w:t>
      </w:r>
      <w:r w:rsidRPr="00FD12B4">
        <w:t xml:space="preserve">, el </w:t>
      </w:r>
      <w:r w:rsidR="00372F63">
        <w:t xml:space="preserve">12,2 </w:t>
      </w:r>
      <w:r w:rsidRPr="00FD12B4">
        <w:t>% de los registros de Covid</w:t>
      </w:r>
      <w:r w:rsidR="0020498B" w:rsidRPr="00FD12B4">
        <w:t xml:space="preserve">-19 </w:t>
      </w:r>
      <w:r w:rsidR="00372F63">
        <w:t xml:space="preserve">desde la semana 16 </w:t>
      </w:r>
      <w:r w:rsidR="0020498B" w:rsidRPr="00FD12B4">
        <w:t>hasta la semana 22 tenían su correspondiente registro d</w:t>
      </w:r>
      <w:r w:rsidR="005B4F10">
        <w:t>oble</w:t>
      </w:r>
      <w:r w:rsidR="0020498B" w:rsidRPr="00FD12B4">
        <w:t xml:space="preserve"> del</w:t>
      </w:r>
      <w:r w:rsidRPr="00FD12B4">
        <w:t xml:space="preserve"> síndrome de infección respiratoria que </w:t>
      </w:r>
      <w:r w:rsidR="0020498B" w:rsidRPr="00FD12B4">
        <w:t>presentó</w:t>
      </w:r>
      <w:r w:rsidRPr="00FD12B4">
        <w:t xml:space="preserve"> el paciente</w:t>
      </w:r>
      <w:r w:rsidR="0020498B" w:rsidRPr="00FD12B4">
        <w:t>. L</w:t>
      </w:r>
      <w:r w:rsidRPr="00FD12B4">
        <w:t xml:space="preserve">a mayoría se presentaron como una </w:t>
      </w:r>
      <w:r w:rsidR="00DD4BFC">
        <w:t>Infección aguda</w:t>
      </w:r>
      <w:r w:rsidR="0020498B" w:rsidRPr="00FD12B4">
        <w:t xml:space="preserve"> de las vías respiratorias superiores de localización múltiple o local</w:t>
      </w:r>
      <w:r w:rsidR="005B4F10">
        <w:t>ización no especificada (</w:t>
      </w:r>
      <w:r w:rsidR="00372F63">
        <w:t>5</w:t>
      </w:r>
      <w:r w:rsidR="005B4F10">
        <w:t>8%), o</w:t>
      </w:r>
      <w:r w:rsidR="00372F63">
        <w:t>tras afecciones respiratorias (18</w:t>
      </w:r>
      <w:r w:rsidR="0020498B" w:rsidRPr="00FD12B4">
        <w:t>%) o f</w:t>
      </w:r>
      <w:r w:rsidRPr="00FD12B4">
        <w:t>aringitis aguda (</w:t>
      </w:r>
      <w:r w:rsidR="0020498B" w:rsidRPr="00FD12B4">
        <w:t>1</w:t>
      </w:r>
      <w:r w:rsidR="00372F63">
        <w:t>1</w:t>
      </w:r>
      <w:r w:rsidRPr="00FD12B4">
        <w:t>%)</w:t>
      </w:r>
      <w:r w:rsidR="0020498B" w:rsidRPr="00FD12B4">
        <w:t>. Posteriores análisis por edad y sexo permitirán describir algo mejor estos procesos.</w:t>
      </w:r>
    </w:p>
    <w:p w14:paraId="41E23818" w14:textId="6E653ED7" w:rsidR="00031BF1" w:rsidRDefault="00D744F7" w:rsidP="00031BF1">
      <w:pPr>
        <w:spacing w:after="0"/>
        <w:jc w:val="both"/>
      </w:pPr>
      <w:r w:rsidRPr="00FD12B4">
        <w:t xml:space="preserve">El reciente </w:t>
      </w:r>
      <w:r w:rsidR="0020498B" w:rsidRPr="00FD12B4">
        <w:t>PROCEDIMIENTO DE DIAGNÓSTICO, VIGILANCIA Y CONTROL EN LA FASE DE LA TRANSICIÓN DE LA PANDEMIA COVID19 EN ATENCIÓN PRIMARIA</w:t>
      </w:r>
      <w:r w:rsidRPr="00FD12B4">
        <w:t xml:space="preserve"> de Castilla y León, y la necesidad de simplificar la notificación centinela de IRA de cara a disponer de una Vigilancia Integral de las IRA (incluido Covid-19 y gripe) para la nueva temporada, no</w:t>
      </w:r>
      <w:r w:rsidR="00140943">
        <w:t>s conduce a introducir cambios importantes</w:t>
      </w:r>
      <w:r w:rsidRPr="00FD12B4">
        <w:t xml:space="preserve"> en el </w:t>
      </w:r>
      <w:r w:rsidR="00DD5CFB" w:rsidRPr="00DD5CFB">
        <w:t>ESTUDIO DEL COVID-19 Y OTRAS INFECCIONES RESPIRATORIAS AGUDAS</w:t>
      </w:r>
      <w:r w:rsidR="00031BF1">
        <w:t xml:space="preserve"> de abril. Ver: </w:t>
      </w:r>
    </w:p>
    <w:p w14:paraId="256211A7" w14:textId="668894C0" w:rsidR="00031BF1" w:rsidRDefault="0069307C" w:rsidP="00031BF1">
      <w:pPr>
        <w:spacing w:after="0"/>
        <w:jc w:val="both"/>
      </w:pPr>
      <w:hyperlink r:id="rId8" w:history="1">
        <w:r w:rsidR="00031BF1" w:rsidRPr="00082DA2">
          <w:rPr>
            <w:rStyle w:val="Hipervnculo"/>
          </w:rPr>
          <w:t>https://www.saludcastillayleon.es/profesionales/es/centinelas/programa-general-registro-2020/estudio-covid-19-infecciones-respiratorias-agudas</w:t>
        </w:r>
      </w:hyperlink>
    </w:p>
    <w:p w14:paraId="634B53D7" w14:textId="6D8119CE" w:rsidR="00D744F7" w:rsidRPr="00FD12B4" w:rsidRDefault="00DD5CFB" w:rsidP="00031BF1">
      <w:pPr>
        <w:spacing w:before="240"/>
        <w:jc w:val="both"/>
      </w:pPr>
      <w:r>
        <w:t xml:space="preserve"> </w:t>
      </w:r>
      <w:r w:rsidR="00D744F7" w:rsidRPr="00FD12B4">
        <w:t>El punto 2 quedará redactado de la siguiente manera</w:t>
      </w:r>
      <w:r w:rsidR="00470E65">
        <w:t xml:space="preserve"> </w:t>
      </w:r>
      <w:r w:rsidR="00470E65" w:rsidRPr="00470E65">
        <w:rPr>
          <w:b/>
        </w:rPr>
        <w:t>para su aplicación</w:t>
      </w:r>
      <w:r w:rsidR="00470E65">
        <w:t xml:space="preserve"> </w:t>
      </w:r>
      <w:r w:rsidR="00470E65" w:rsidRPr="00470E65">
        <w:rPr>
          <w:b/>
        </w:rPr>
        <w:t>a partir del lunes 8 de junio</w:t>
      </w:r>
      <w:r w:rsidR="00470E65">
        <w:t>.</w:t>
      </w:r>
    </w:p>
    <w:p w14:paraId="5BDC59E7" w14:textId="77777777" w:rsidR="00D744F7" w:rsidRPr="003D41D1" w:rsidRDefault="00D744F7" w:rsidP="00D744F7">
      <w:pPr>
        <w:pStyle w:val="Ttulo2"/>
      </w:pPr>
      <w:bookmarkStart w:id="0" w:name="_Toc37242767"/>
      <w:r>
        <w:t>2. P</w:t>
      </w:r>
      <w:r w:rsidRPr="003D41D1">
        <w:t xml:space="preserve">rocedimiento de registro en </w:t>
      </w:r>
      <w:proofErr w:type="spellStart"/>
      <w:r w:rsidRPr="003D41D1">
        <w:t>MedoraCyL</w:t>
      </w:r>
      <w:bookmarkEnd w:id="0"/>
      <w:proofErr w:type="spellEnd"/>
    </w:p>
    <w:tbl>
      <w:tblPr>
        <w:tblStyle w:val="Tablaconcuadrcula"/>
        <w:tblW w:w="0" w:type="auto"/>
        <w:shd w:val="clear" w:color="auto" w:fill="FFD966" w:themeFill="accent4" w:themeFillTint="99"/>
        <w:tblLook w:val="04A0" w:firstRow="1" w:lastRow="0" w:firstColumn="1" w:lastColumn="0" w:noHBand="0" w:noVBand="1"/>
      </w:tblPr>
      <w:tblGrid>
        <w:gridCol w:w="9629"/>
      </w:tblGrid>
      <w:tr w:rsidR="00D744F7" w:rsidRPr="00E32583" w14:paraId="3D920B96" w14:textId="77777777" w:rsidTr="0015414A">
        <w:tc>
          <w:tcPr>
            <w:tcW w:w="9629" w:type="dxa"/>
            <w:shd w:val="clear" w:color="auto" w:fill="FFD966" w:themeFill="accent4" w:themeFillTint="99"/>
          </w:tcPr>
          <w:p w14:paraId="2F71D8AC" w14:textId="77777777" w:rsidR="00D744F7" w:rsidRPr="003D41D1" w:rsidRDefault="00D744F7" w:rsidP="00DB4898">
            <w:pPr>
              <w:spacing w:after="0"/>
              <w:rPr>
                <w:b/>
                <w:bCs/>
                <w:i/>
                <w:iCs/>
              </w:rPr>
            </w:pPr>
            <w:r w:rsidRPr="003D41D1">
              <w:rPr>
                <w:b/>
                <w:bCs/>
                <w:i/>
                <w:iCs/>
              </w:rPr>
              <w:t>Para todos los médicos de familia y pediatras de la Red Centinela</w:t>
            </w:r>
          </w:p>
        </w:tc>
      </w:tr>
    </w:tbl>
    <w:p w14:paraId="26D34FD0" w14:textId="77777777" w:rsidR="00D744F7" w:rsidRPr="003D41D1" w:rsidRDefault="00D744F7" w:rsidP="00D744F7">
      <w:pPr>
        <w:pStyle w:val="Ttulo3"/>
      </w:pPr>
      <w:bookmarkStart w:id="1" w:name="_Toc37242768"/>
      <w:r>
        <w:t>2.1 P</w:t>
      </w:r>
      <w:r w:rsidRPr="003D41D1">
        <w:t>roceso clínico</w:t>
      </w:r>
      <w:bookmarkEnd w:id="1"/>
    </w:p>
    <w:p w14:paraId="13A99BA2" w14:textId="77777777" w:rsidR="00D744F7" w:rsidRPr="00C71F99" w:rsidRDefault="00D744F7" w:rsidP="00D744F7">
      <w:r w:rsidRPr="00C71F99">
        <w:t xml:space="preserve">Cada caso de IRA nuevo será </w:t>
      </w:r>
      <w:r w:rsidR="005D71B8">
        <w:t>registrado en MEDORA</w:t>
      </w:r>
      <w:r w:rsidRPr="00C71F99">
        <w:t xml:space="preserve"> </w:t>
      </w:r>
      <w:r w:rsidR="005D71B8">
        <w:t>SOLO UNA VEZ como</w:t>
      </w:r>
      <w:r w:rsidR="00F36357">
        <w:t xml:space="preserve"> </w:t>
      </w:r>
      <w:r w:rsidR="00F36357" w:rsidRPr="00FD6102">
        <w:rPr>
          <w:u w:val="single"/>
        </w:rPr>
        <w:t>NUEVO PROCESO</w:t>
      </w:r>
      <w:r w:rsidRPr="00C71F99">
        <w:t>:</w:t>
      </w:r>
    </w:p>
    <w:p w14:paraId="6CC44AC0" w14:textId="77777777" w:rsidR="00D744F7" w:rsidRDefault="005D71B8" w:rsidP="00D744F7">
      <w:pPr>
        <w:pStyle w:val="Prrafodelista"/>
        <w:numPr>
          <w:ilvl w:val="0"/>
          <w:numId w:val="3"/>
        </w:numPr>
        <w:spacing w:after="160" w:line="259" w:lineRule="auto"/>
        <w:contextualSpacing/>
        <w:jc w:val="both"/>
        <w:rPr>
          <w:lang w:val="es-ES"/>
        </w:rPr>
      </w:pPr>
      <w:r w:rsidRPr="005D71B8">
        <w:rPr>
          <w:b/>
          <w:lang w:val="es-ES"/>
        </w:rPr>
        <w:t>Enfermedad por coronavirus</w:t>
      </w:r>
      <w:r>
        <w:rPr>
          <w:lang w:val="es-ES"/>
        </w:rPr>
        <w:t>,</w:t>
      </w:r>
      <w:r w:rsidR="00D744F7" w:rsidRPr="00D744F7">
        <w:rPr>
          <w:lang w:val="es-ES"/>
        </w:rPr>
        <w:t xml:space="preserve"> atendiendo a los criterios establecidos por la Consejería de Sanidad</w:t>
      </w:r>
      <w:r>
        <w:rPr>
          <w:lang w:val="es-ES"/>
        </w:rPr>
        <w:t>, iniciándose los procedimientos de acuerdo a los protocolos de la Consejería de Sanidad</w:t>
      </w:r>
      <w:r w:rsidR="00DB4898">
        <w:rPr>
          <w:lang w:val="es-ES"/>
        </w:rPr>
        <w:t>, solicitando la PCR de confirmación.</w:t>
      </w:r>
    </w:p>
    <w:p w14:paraId="41748ABB" w14:textId="5517A2B0" w:rsidR="005D71B8" w:rsidRDefault="00F36357" w:rsidP="00FD6102">
      <w:r>
        <w:t>O</w:t>
      </w:r>
      <w:r w:rsidR="005D71B8">
        <w:t xml:space="preserve"> como</w:t>
      </w:r>
      <w:r>
        <w:t>:</w:t>
      </w:r>
    </w:p>
    <w:p w14:paraId="2EFAFFD3" w14:textId="0D00477F" w:rsidR="005D71B8" w:rsidRDefault="005D71B8" w:rsidP="00D744F7">
      <w:pPr>
        <w:pStyle w:val="Prrafodelista"/>
        <w:numPr>
          <w:ilvl w:val="0"/>
          <w:numId w:val="3"/>
        </w:numPr>
        <w:spacing w:after="160" w:line="259" w:lineRule="auto"/>
        <w:contextualSpacing/>
        <w:jc w:val="both"/>
        <w:rPr>
          <w:b/>
          <w:lang w:val="es-ES"/>
        </w:rPr>
      </w:pPr>
      <w:r>
        <w:rPr>
          <w:b/>
          <w:lang w:val="es-ES"/>
        </w:rPr>
        <w:t xml:space="preserve">La infección respiratoria aguda que corresponda de la tabla de códigos de la CIE9-MC (ver </w:t>
      </w:r>
      <w:r w:rsidR="0069307C">
        <w:rPr>
          <w:b/>
          <w:lang w:val="es-ES"/>
        </w:rPr>
        <w:t>tabla 1 al final</w:t>
      </w:r>
      <w:r>
        <w:rPr>
          <w:b/>
          <w:lang w:val="es-ES"/>
        </w:rPr>
        <w:t>)</w:t>
      </w:r>
    </w:p>
    <w:p w14:paraId="6E351DF6" w14:textId="77777777" w:rsidR="00F36357" w:rsidRDefault="00F36357" w:rsidP="00DB4898">
      <w:pPr>
        <w:spacing w:after="160" w:line="259" w:lineRule="auto"/>
        <w:contextualSpacing/>
        <w:jc w:val="both"/>
        <w:rPr>
          <w:b/>
        </w:rPr>
      </w:pPr>
      <w:r w:rsidRPr="00FD6102">
        <w:rPr>
          <w:b/>
        </w:rPr>
        <w:lastRenderedPageBreak/>
        <w:t>EN AMBOS CASOS:</w:t>
      </w:r>
    </w:p>
    <w:p w14:paraId="13DE7C25" w14:textId="77777777" w:rsidR="00031BF1" w:rsidRPr="00FD6102" w:rsidRDefault="00031BF1" w:rsidP="00DB4898">
      <w:pPr>
        <w:spacing w:after="160" w:line="259" w:lineRule="auto"/>
        <w:contextualSpacing/>
        <w:jc w:val="both"/>
        <w:rPr>
          <w:b/>
        </w:rPr>
      </w:pPr>
    </w:p>
    <w:p w14:paraId="06CB5E2E" w14:textId="72B42986" w:rsidR="00113A2A" w:rsidRDefault="005B4F10" w:rsidP="00DB4898">
      <w:pPr>
        <w:spacing w:after="160" w:line="259" w:lineRule="auto"/>
        <w:contextualSpacing/>
        <w:jc w:val="both"/>
      </w:pPr>
      <w:r>
        <w:t>Os</w:t>
      </w:r>
      <w:r w:rsidR="00031BF1">
        <w:t xml:space="preserve"> recordamos que</w:t>
      </w:r>
      <w:r w:rsidR="00DB4898">
        <w:t xml:space="preserve"> el profesional centinela debe abrir la </w:t>
      </w:r>
      <w:r w:rsidR="00DB4898" w:rsidRPr="00DB4898">
        <w:rPr>
          <w:b/>
        </w:rPr>
        <w:t>Guía asistencial de IRA</w:t>
      </w:r>
      <w:r w:rsidR="0069307C">
        <w:t xml:space="preserve"> y cumplimentar todas </w:t>
      </w:r>
      <w:r w:rsidR="00DB4898">
        <w:t>las variables</w:t>
      </w:r>
      <w:r w:rsidR="00113A2A">
        <w:t xml:space="preserve"> allí recogidas</w:t>
      </w:r>
      <w:r w:rsidR="00DB4898">
        <w:t xml:space="preserve">, con especial cuidado en señalar si </w:t>
      </w:r>
      <w:r w:rsidR="00113A2A">
        <w:t xml:space="preserve">se hace una </w:t>
      </w:r>
      <w:r w:rsidR="00DB4898">
        <w:t xml:space="preserve">toma </w:t>
      </w:r>
      <w:r w:rsidR="00113A2A">
        <w:t xml:space="preserve">de </w:t>
      </w:r>
      <w:r w:rsidR="00DB4898">
        <w:t xml:space="preserve">frotis faríngeo. </w:t>
      </w:r>
      <w:r w:rsidR="00113A2A">
        <w:t>Los datos recogidos hasta ahora muestran una muy escasa cumplimentación</w:t>
      </w:r>
      <w:r w:rsidR="0069307C">
        <w:t>,</w:t>
      </w:r>
      <w:r w:rsidR="00113A2A">
        <w:t xml:space="preserve"> lo que impedirá valida</w:t>
      </w:r>
      <w:r w:rsidR="00F36357">
        <w:t>r</w:t>
      </w:r>
      <w:r w:rsidR="00113A2A">
        <w:t xml:space="preserve"> los registros para la vigilancia centinela.</w:t>
      </w:r>
    </w:p>
    <w:p w14:paraId="42E8CF45" w14:textId="77777777" w:rsidR="00113A2A" w:rsidRDefault="00113A2A" w:rsidP="00DB4898">
      <w:pPr>
        <w:spacing w:after="160" w:line="259" w:lineRule="auto"/>
        <w:contextualSpacing/>
        <w:jc w:val="both"/>
      </w:pPr>
    </w:p>
    <w:p w14:paraId="78646B9F" w14:textId="011C6112" w:rsidR="0015414A" w:rsidRDefault="00DB4898" w:rsidP="0015414A">
      <w:pPr>
        <w:spacing w:after="0" w:line="259" w:lineRule="auto"/>
        <w:contextualSpacing/>
        <w:jc w:val="both"/>
        <w:rPr>
          <w:rFonts w:cs="Arial"/>
          <w:lang w:val="es-ES_tradnl"/>
        </w:rPr>
      </w:pPr>
      <w:r>
        <w:t>Si además es centinela de</w:t>
      </w:r>
      <w:r w:rsidR="00F36357">
        <w:t xml:space="preserve">l </w:t>
      </w:r>
      <w:r w:rsidR="00F36357" w:rsidRPr="00DD5CFB">
        <w:rPr>
          <w:b/>
        </w:rPr>
        <w:t xml:space="preserve">Programa de Vigilancia Integral </w:t>
      </w:r>
      <w:r w:rsidRPr="00DD5CFB">
        <w:rPr>
          <w:b/>
        </w:rPr>
        <w:t xml:space="preserve">de la </w:t>
      </w:r>
      <w:r w:rsidR="00F36357" w:rsidRPr="00DD5CFB">
        <w:rPr>
          <w:b/>
        </w:rPr>
        <w:t>G</w:t>
      </w:r>
      <w:r w:rsidRPr="00DD5CFB">
        <w:rPr>
          <w:b/>
        </w:rPr>
        <w:t>ripe</w:t>
      </w:r>
      <w:r w:rsidR="00456C1E">
        <w:t xml:space="preserve"> y envía un frotis para determinación de otros virus respiratorios</w:t>
      </w:r>
      <w:r>
        <w:t xml:space="preserve">, debe señalar en </w:t>
      </w:r>
      <w:r w:rsidR="00456C1E">
        <w:t xml:space="preserve">el campo Observaciones de la pantalla Proceso clínico, que es un </w:t>
      </w:r>
      <w:r w:rsidR="00456C1E" w:rsidRPr="00456C1E">
        <w:t xml:space="preserve"> ‘</w:t>
      </w:r>
      <w:r w:rsidR="00456C1E" w:rsidRPr="00DD5CFB">
        <w:rPr>
          <w:u w:val="single"/>
        </w:rPr>
        <w:t>Paciente en estudio de Salud Publica</w:t>
      </w:r>
      <w:r w:rsidR="00456C1E">
        <w:t>’, además de anotar en el volante de petición</w:t>
      </w:r>
      <w:r w:rsidR="00FD12B4">
        <w:t xml:space="preserve"> </w:t>
      </w:r>
      <w:r w:rsidR="00FD12B4" w:rsidRPr="00870157">
        <w:rPr>
          <w:rFonts w:cs="Arial"/>
          <w:lang w:val="es-ES_tradnl"/>
        </w:rPr>
        <w:t>“</w:t>
      </w:r>
      <w:r w:rsidR="00FD12B4" w:rsidRPr="00DD5CFB">
        <w:rPr>
          <w:rFonts w:cs="Arial"/>
          <w:u w:val="single"/>
          <w:lang w:val="es-ES_tradnl"/>
        </w:rPr>
        <w:t>MUESTRA DE SALUD PÚBLICA - ESTUDIO COVID-19- RED CENTINELA</w:t>
      </w:r>
      <w:r w:rsidR="00FD12B4" w:rsidRPr="00870157">
        <w:rPr>
          <w:rFonts w:cs="Arial"/>
          <w:lang w:val="es-ES_tradnl"/>
        </w:rPr>
        <w:t>”.</w:t>
      </w:r>
    </w:p>
    <w:p w14:paraId="3F819FA2" w14:textId="77777777" w:rsidR="00F36357" w:rsidRDefault="00F36357" w:rsidP="0015414A">
      <w:pPr>
        <w:spacing w:after="0" w:line="259" w:lineRule="auto"/>
        <w:contextualSpacing/>
        <w:jc w:val="both"/>
        <w:rPr>
          <w:rFonts w:cs="Arial"/>
          <w:b/>
          <w:lang w:val="es-ES_tradnl"/>
        </w:rPr>
      </w:pPr>
    </w:p>
    <w:p w14:paraId="6AD5E0D7" w14:textId="36187D29" w:rsidR="00F36357" w:rsidRPr="00DD5CFB" w:rsidRDefault="00F36357" w:rsidP="0015414A">
      <w:pPr>
        <w:spacing w:after="0" w:line="259" w:lineRule="auto"/>
        <w:contextualSpacing/>
        <w:jc w:val="both"/>
        <w:rPr>
          <w:b/>
        </w:rPr>
      </w:pPr>
      <w:r w:rsidRPr="00DD5CFB">
        <w:rPr>
          <w:rFonts w:cs="Arial"/>
          <w:b/>
          <w:lang w:val="es-ES_tradnl"/>
        </w:rPr>
        <w:t xml:space="preserve">EN CASO DE </w:t>
      </w:r>
      <w:r w:rsidR="00DD5CFB">
        <w:rPr>
          <w:rFonts w:cs="Arial"/>
          <w:b/>
          <w:lang w:val="es-ES_tradnl"/>
        </w:rPr>
        <w:t xml:space="preserve">HABER REGISTRADO EN MEDORA </w:t>
      </w:r>
      <w:r w:rsidRPr="00DD5CFB">
        <w:rPr>
          <w:rFonts w:cs="Arial"/>
          <w:b/>
          <w:lang w:val="es-ES_tradnl"/>
        </w:rPr>
        <w:t>ENFERMEDAD POR CORONAVIRUS:</w:t>
      </w:r>
    </w:p>
    <w:p w14:paraId="2A1F93E3" w14:textId="77777777" w:rsidR="0015414A" w:rsidRDefault="0015414A" w:rsidP="0015414A">
      <w:pPr>
        <w:spacing w:after="0" w:line="259" w:lineRule="auto"/>
        <w:contextualSpacing/>
        <w:jc w:val="both"/>
      </w:pPr>
    </w:p>
    <w:p w14:paraId="18794801" w14:textId="77777777" w:rsidR="00456C1E" w:rsidRDefault="00DB4898" w:rsidP="0015414A">
      <w:pPr>
        <w:spacing w:after="0" w:line="259" w:lineRule="auto"/>
        <w:contextualSpacing/>
        <w:jc w:val="both"/>
      </w:pPr>
      <w:r>
        <w:t xml:space="preserve">Si la </w:t>
      </w:r>
      <w:r w:rsidRPr="00456C1E">
        <w:rPr>
          <w:b/>
        </w:rPr>
        <w:t>PCR</w:t>
      </w:r>
      <w:r>
        <w:t xml:space="preserve"> de la sospecha de enfermedad por coronavirus  es </w:t>
      </w:r>
      <w:r w:rsidRPr="00456C1E">
        <w:rPr>
          <w:b/>
        </w:rPr>
        <w:t>negativa</w:t>
      </w:r>
      <w:r>
        <w:t>, y no se repite por baja sospecha clínica, se cambiará el diagnóstico en MEDORA por uno de los de la tabla 1.</w:t>
      </w:r>
      <w:r w:rsidR="00456C1E">
        <w:t xml:space="preserve"> Desde el Centro coordinador haremos un control de calidad de este cambio de diagnóstico.</w:t>
      </w:r>
    </w:p>
    <w:p w14:paraId="7FCC0E59" w14:textId="77777777" w:rsidR="00F36357" w:rsidRDefault="00F36357" w:rsidP="0015414A">
      <w:pPr>
        <w:spacing w:after="0" w:line="259" w:lineRule="auto"/>
        <w:contextualSpacing/>
        <w:jc w:val="both"/>
      </w:pPr>
    </w:p>
    <w:p w14:paraId="524F712E" w14:textId="77777777" w:rsidR="00456C1E" w:rsidRDefault="00456C1E" w:rsidP="00456C1E">
      <w:pPr>
        <w:spacing w:after="160" w:line="259" w:lineRule="auto"/>
      </w:pPr>
      <w:r>
        <w:t xml:space="preserve">De conformidad con el Procedimiento establecido por la Consejería, si la </w:t>
      </w:r>
      <w:r w:rsidRPr="00456C1E">
        <w:rPr>
          <w:b/>
        </w:rPr>
        <w:t>PCR</w:t>
      </w:r>
      <w:r>
        <w:t xml:space="preserve"> es </w:t>
      </w:r>
      <w:r w:rsidRPr="00456C1E">
        <w:rPr>
          <w:b/>
        </w:rPr>
        <w:t>positiva</w:t>
      </w:r>
      <w:r>
        <w:t xml:space="preserve">, entre otras cosas, se deberá completar la </w:t>
      </w:r>
      <w:r w:rsidRPr="00456C1E">
        <w:rPr>
          <w:b/>
        </w:rPr>
        <w:t>Guía de Notificación de Caso Confirmad</w:t>
      </w:r>
      <w:r>
        <w:rPr>
          <w:b/>
        </w:rPr>
        <w:t>o</w:t>
      </w:r>
      <w:r w:rsidR="00F36357">
        <w:rPr>
          <w:b/>
        </w:rPr>
        <w:t xml:space="preserve"> de Covid-19</w:t>
      </w:r>
      <w:r>
        <w:t>.</w:t>
      </w:r>
    </w:p>
    <w:p w14:paraId="4CB5CD7F" w14:textId="5EC39586" w:rsidR="00456C1E" w:rsidRPr="00DD4BFC" w:rsidRDefault="009C692D" w:rsidP="0015414A">
      <w:pPr>
        <w:spacing w:before="240" w:after="160" w:line="259" w:lineRule="auto"/>
        <w:rPr>
          <w:b/>
        </w:rPr>
      </w:pPr>
      <w:bookmarkStart w:id="2" w:name="_Ref37231976"/>
      <w:r>
        <w:rPr>
          <w:b/>
        </w:rPr>
        <w:t>Tabla</w:t>
      </w:r>
      <w:r w:rsidR="0069307C">
        <w:rPr>
          <w:b/>
        </w:rPr>
        <w:t xml:space="preserve"> 1</w:t>
      </w:r>
      <w:bookmarkStart w:id="3" w:name="_GoBack"/>
      <w:bookmarkEnd w:id="3"/>
      <w:r w:rsidR="00456C1E" w:rsidRPr="00DD4BFC">
        <w:rPr>
          <w:b/>
        </w:rPr>
        <w:t xml:space="preserve"> - Procesos de IRA incluidos en el registro</w:t>
      </w:r>
      <w:bookmarkEnd w:id="2"/>
      <w:r w:rsidR="00456C1E" w:rsidRPr="00DD4BFC">
        <w:rPr>
          <w:b/>
        </w:rPr>
        <w:t xml:space="preserve"> (ver protocolo del Programa Especial de Registro para exclusiones e información complementaria)</w:t>
      </w:r>
    </w:p>
    <w:tbl>
      <w:tblPr>
        <w:tblStyle w:val="Tabladecuadrcula1clara1"/>
        <w:tblW w:w="5533" w:type="pct"/>
        <w:tblInd w:w="-289" w:type="dxa"/>
        <w:tblLook w:val="0420" w:firstRow="1" w:lastRow="0" w:firstColumn="0" w:lastColumn="0" w:noHBand="0" w:noVBand="1"/>
      </w:tblPr>
      <w:tblGrid>
        <w:gridCol w:w="9355"/>
        <w:gridCol w:w="660"/>
        <w:gridCol w:w="765"/>
      </w:tblGrid>
      <w:tr w:rsidR="00FD12B4" w:rsidRPr="00031BF1" w14:paraId="021DF748" w14:textId="77777777" w:rsidTr="0015414A">
        <w:trPr>
          <w:cnfStyle w:val="100000000000" w:firstRow="1" w:lastRow="0" w:firstColumn="0" w:lastColumn="0" w:oddVBand="0" w:evenVBand="0" w:oddHBand="0" w:evenHBand="0" w:firstRowFirstColumn="0" w:firstRowLastColumn="0" w:lastRowFirstColumn="0" w:lastRowLastColumn="0"/>
        </w:trPr>
        <w:tc>
          <w:tcPr>
            <w:tcW w:w="4339" w:type="pct"/>
          </w:tcPr>
          <w:p w14:paraId="75996E87" w14:textId="77777777" w:rsidR="00456C1E" w:rsidRPr="00031BF1" w:rsidRDefault="00456C1E" w:rsidP="00646038">
            <w:pPr>
              <w:rPr>
                <w:sz w:val="18"/>
                <w:szCs w:val="18"/>
              </w:rPr>
            </w:pPr>
            <w:r w:rsidRPr="00031BF1">
              <w:rPr>
                <w:sz w:val="18"/>
                <w:szCs w:val="18"/>
              </w:rPr>
              <w:t xml:space="preserve">Nombre de procesos en MEDORA </w:t>
            </w:r>
          </w:p>
        </w:tc>
        <w:tc>
          <w:tcPr>
            <w:tcW w:w="306" w:type="pct"/>
          </w:tcPr>
          <w:p w14:paraId="1A3238BE" w14:textId="77777777" w:rsidR="00456C1E" w:rsidRPr="00031BF1" w:rsidRDefault="00456C1E" w:rsidP="00646038">
            <w:pPr>
              <w:rPr>
                <w:sz w:val="18"/>
                <w:szCs w:val="18"/>
              </w:rPr>
            </w:pPr>
            <w:r w:rsidRPr="00031BF1">
              <w:rPr>
                <w:sz w:val="18"/>
                <w:szCs w:val="18"/>
              </w:rPr>
              <w:t xml:space="preserve"> CIE9</w:t>
            </w:r>
          </w:p>
        </w:tc>
        <w:tc>
          <w:tcPr>
            <w:tcW w:w="355" w:type="pct"/>
          </w:tcPr>
          <w:p w14:paraId="13B782B4" w14:textId="77777777" w:rsidR="00456C1E" w:rsidRPr="00031BF1" w:rsidRDefault="00456C1E" w:rsidP="00646038">
            <w:pPr>
              <w:rPr>
                <w:sz w:val="18"/>
                <w:szCs w:val="18"/>
              </w:rPr>
            </w:pPr>
            <w:proofErr w:type="spellStart"/>
            <w:r w:rsidRPr="00031BF1">
              <w:rPr>
                <w:sz w:val="18"/>
                <w:szCs w:val="18"/>
              </w:rPr>
              <w:t>Cipsap</w:t>
            </w:r>
            <w:proofErr w:type="spellEnd"/>
          </w:p>
        </w:tc>
      </w:tr>
      <w:tr w:rsidR="00FD12B4" w:rsidRPr="00031BF1" w14:paraId="2C6BD233" w14:textId="77777777" w:rsidTr="0015414A">
        <w:tc>
          <w:tcPr>
            <w:tcW w:w="4339" w:type="pct"/>
          </w:tcPr>
          <w:p w14:paraId="52A427FF" w14:textId="77777777" w:rsidR="00456C1E" w:rsidRPr="00031BF1" w:rsidRDefault="00456C1E" w:rsidP="00646038">
            <w:pPr>
              <w:rPr>
                <w:sz w:val="18"/>
                <w:szCs w:val="18"/>
              </w:rPr>
            </w:pPr>
            <w:r w:rsidRPr="00031BF1">
              <w:rPr>
                <w:sz w:val="18"/>
                <w:szCs w:val="18"/>
              </w:rPr>
              <w:t>CATARRO, CATARRO DE VIAS ALTAS, CATARRO NASAL, CORIZA, CORIZA AGUDA, NASOFARINGITIS, NASOFARINGITIS AGUDA, NASOFARINGITIS INFECIOSA, RESFRIADO, RESFRIADO COMUN, RINITIS AGUDA, RINOFARINGITIS, RINOFARINGITIS AGUDA, PROCESO CATARRAL, CATARRO COMUN, SINDROME CATARRAL, CUADRO CATARRAL.</w:t>
            </w:r>
          </w:p>
        </w:tc>
        <w:tc>
          <w:tcPr>
            <w:tcW w:w="306" w:type="pct"/>
          </w:tcPr>
          <w:p w14:paraId="7E9F4D3C" w14:textId="77777777" w:rsidR="00456C1E" w:rsidRPr="00031BF1" w:rsidRDefault="00456C1E" w:rsidP="00646038">
            <w:pPr>
              <w:rPr>
                <w:sz w:val="18"/>
                <w:szCs w:val="18"/>
              </w:rPr>
            </w:pPr>
            <w:r w:rsidRPr="00031BF1">
              <w:rPr>
                <w:sz w:val="18"/>
                <w:szCs w:val="18"/>
              </w:rPr>
              <w:t>460</w:t>
            </w:r>
          </w:p>
        </w:tc>
        <w:tc>
          <w:tcPr>
            <w:tcW w:w="355" w:type="pct"/>
          </w:tcPr>
          <w:p w14:paraId="4062E158" w14:textId="77777777" w:rsidR="00456C1E" w:rsidRPr="00031BF1" w:rsidRDefault="00456C1E" w:rsidP="00646038">
            <w:pPr>
              <w:rPr>
                <w:sz w:val="18"/>
                <w:szCs w:val="18"/>
              </w:rPr>
            </w:pPr>
            <w:r w:rsidRPr="00031BF1">
              <w:rPr>
                <w:sz w:val="18"/>
                <w:szCs w:val="18"/>
              </w:rPr>
              <w:t>460</w:t>
            </w:r>
          </w:p>
        </w:tc>
      </w:tr>
      <w:tr w:rsidR="00FD12B4" w:rsidRPr="00031BF1" w14:paraId="5A2EC6C8" w14:textId="77777777" w:rsidTr="0015414A">
        <w:tc>
          <w:tcPr>
            <w:tcW w:w="4339" w:type="pct"/>
          </w:tcPr>
          <w:p w14:paraId="3F6BB137" w14:textId="77777777" w:rsidR="00456C1E" w:rsidRPr="00031BF1" w:rsidRDefault="00456C1E" w:rsidP="00646038">
            <w:pPr>
              <w:rPr>
                <w:sz w:val="18"/>
                <w:szCs w:val="18"/>
                <w:lang w:val="en-US"/>
              </w:rPr>
            </w:pPr>
            <w:r w:rsidRPr="00031BF1">
              <w:rPr>
                <w:sz w:val="18"/>
                <w:szCs w:val="18"/>
                <w:lang w:val="en-US"/>
              </w:rPr>
              <w:t>FARINGITIS, FARINGITIS AGUDA, FARINGITIS VIRAL, FARINGITIS VIRICA, FARINGOADENOIDITIS</w:t>
            </w:r>
          </w:p>
        </w:tc>
        <w:tc>
          <w:tcPr>
            <w:tcW w:w="306" w:type="pct"/>
          </w:tcPr>
          <w:p w14:paraId="217A57C9" w14:textId="77777777" w:rsidR="00456C1E" w:rsidRPr="00031BF1" w:rsidRDefault="00456C1E" w:rsidP="00646038">
            <w:pPr>
              <w:rPr>
                <w:sz w:val="18"/>
                <w:szCs w:val="18"/>
              </w:rPr>
            </w:pPr>
            <w:r w:rsidRPr="00031BF1">
              <w:rPr>
                <w:sz w:val="18"/>
                <w:szCs w:val="18"/>
              </w:rPr>
              <w:t>462</w:t>
            </w:r>
          </w:p>
        </w:tc>
        <w:tc>
          <w:tcPr>
            <w:tcW w:w="355" w:type="pct"/>
          </w:tcPr>
          <w:p w14:paraId="6D867476" w14:textId="77777777" w:rsidR="00456C1E" w:rsidRPr="00031BF1" w:rsidRDefault="00456C1E" w:rsidP="00646038">
            <w:pPr>
              <w:rPr>
                <w:sz w:val="18"/>
                <w:szCs w:val="18"/>
              </w:rPr>
            </w:pPr>
            <w:r w:rsidRPr="00031BF1">
              <w:rPr>
                <w:sz w:val="18"/>
                <w:szCs w:val="18"/>
              </w:rPr>
              <w:t>460</w:t>
            </w:r>
          </w:p>
        </w:tc>
      </w:tr>
      <w:tr w:rsidR="00FD12B4" w:rsidRPr="00031BF1" w14:paraId="76FD3614" w14:textId="77777777" w:rsidTr="0015414A">
        <w:tc>
          <w:tcPr>
            <w:tcW w:w="4339" w:type="pct"/>
          </w:tcPr>
          <w:p w14:paraId="4F8CC07F" w14:textId="77777777" w:rsidR="00456C1E" w:rsidRPr="00031BF1" w:rsidRDefault="00456C1E" w:rsidP="00646038">
            <w:pPr>
              <w:rPr>
                <w:sz w:val="18"/>
                <w:szCs w:val="18"/>
              </w:rPr>
            </w:pPr>
            <w:r w:rsidRPr="00031BF1">
              <w:rPr>
                <w:sz w:val="18"/>
                <w:szCs w:val="18"/>
              </w:rPr>
              <w:t>AMIGDALITIS, AMIGDALITIS AGUDA, AMIGDALITIS VIRAL</w:t>
            </w:r>
          </w:p>
        </w:tc>
        <w:tc>
          <w:tcPr>
            <w:tcW w:w="306" w:type="pct"/>
          </w:tcPr>
          <w:p w14:paraId="65C199CE" w14:textId="77777777" w:rsidR="00456C1E" w:rsidRPr="00031BF1" w:rsidRDefault="00456C1E" w:rsidP="00646038">
            <w:pPr>
              <w:rPr>
                <w:sz w:val="18"/>
                <w:szCs w:val="18"/>
              </w:rPr>
            </w:pPr>
            <w:r w:rsidRPr="00031BF1">
              <w:rPr>
                <w:sz w:val="18"/>
                <w:szCs w:val="18"/>
              </w:rPr>
              <w:t>463</w:t>
            </w:r>
          </w:p>
        </w:tc>
        <w:tc>
          <w:tcPr>
            <w:tcW w:w="355" w:type="pct"/>
          </w:tcPr>
          <w:p w14:paraId="4F367397" w14:textId="77777777" w:rsidR="00456C1E" w:rsidRPr="00031BF1" w:rsidRDefault="00456C1E" w:rsidP="00646038">
            <w:pPr>
              <w:rPr>
                <w:sz w:val="18"/>
                <w:szCs w:val="18"/>
              </w:rPr>
            </w:pPr>
            <w:r w:rsidRPr="00031BF1">
              <w:rPr>
                <w:sz w:val="18"/>
                <w:szCs w:val="18"/>
              </w:rPr>
              <w:t>463</w:t>
            </w:r>
          </w:p>
        </w:tc>
      </w:tr>
      <w:tr w:rsidR="00FD12B4" w:rsidRPr="00031BF1" w14:paraId="54AC72A9" w14:textId="77777777" w:rsidTr="0015414A">
        <w:tc>
          <w:tcPr>
            <w:tcW w:w="4339" w:type="pct"/>
          </w:tcPr>
          <w:p w14:paraId="6B108F61" w14:textId="77777777" w:rsidR="00456C1E" w:rsidRPr="00031BF1" w:rsidRDefault="00456C1E" w:rsidP="00646038">
            <w:pPr>
              <w:rPr>
                <w:sz w:val="18"/>
                <w:szCs w:val="18"/>
              </w:rPr>
            </w:pPr>
            <w:r w:rsidRPr="00031BF1">
              <w:rPr>
                <w:sz w:val="18"/>
                <w:szCs w:val="18"/>
              </w:rPr>
              <w:t>LARINGITIS, LARINGITIS AGUDA, TRAQUEITIS AGUDA, TRAQUEITIS, CATARRAL, TRAQUEITIS VIRAL, TRAQUEITIS, TRAQUEITIS CON LARINGITIS, LARINGOTRAQUEITIS, LARINGOTRAQUEITIS AGUDA, EPIGLOTITIS AGUDA, EPIGLOTITIS VIRAL, CRUP, SINDROME DE CRUP</w:t>
            </w:r>
          </w:p>
        </w:tc>
        <w:tc>
          <w:tcPr>
            <w:tcW w:w="306" w:type="pct"/>
          </w:tcPr>
          <w:p w14:paraId="75596EA7" w14:textId="77777777" w:rsidR="00456C1E" w:rsidRPr="00031BF1" w:rsidRDefault="00456C1E" w:rsidP="00646038">
            <w:pPr>
              <w:rPr>
                <w:sz w:val="18"/>
                <w:szCs w:val="18"/>
              </w:rPr>
            </w:pPr>
            <w:r w:rsidRPr="00031BF1">
              <w:rPr>
                <w:sz w:val="18"/>
                <w:szCs w:val="18"/>
              </w:rPr>
              <w:t>464</w:t>
            </w:r>
          </w:p>
        </w:tc>
        <w:tc>
          <w:tcPr>
            <w:tcW w:w="355" w:type="pct"/>
          </w:tcPr>
          <w:p w14:paraId="02F6E499" w14:textId="77777777" w:rsidR="00456C1E" w:rsidRPr="00031BF1" w:rsidRDefault="00456C1E" w:rsidP="00646038">
            <w:pPr>
              <w:rPr>
                <w:sz w:val="18"/>
                <w:szCs w:val="18"/>
              </w:rPr>
            </w:pPr>
            <w:r w:rsidRPr="00031BF1">
              <w:rPr>
                <w:sz w:val="18"/>
                <w:szCs w:val="18"/>
              </w:rPr>
              <w:t>464</w:t>
            </w:r>
          </w:p>
        </w:tc>
      </w:tr>
      <w:tr w:rsidR="00FD12B4" w:rsidRPr="00031BF1" w14:paraId="1FEEF9A6" w14:textId="77777777" w:rsidTr="0015414A">
        <w:tc>
          <w:tcPr>
            <w:tcW w:w="4339" w:type="pct"/>
          </w:tcPr>
          <w:p w14:paraId="76B79642" w14:textId="77777777" w:rsidR="00456C1E" w:rsidRPr="00031BF1" w:rsidRDefault="00456C1E" w:rsidP="00646038">
            <w:pPr>
              <w:rPr>
                <w:sz w:val="18"/>
                <w:szCs w:val="18"/>
              </w:rPr>
            </w:pPr>
            <w:r w:rsidRPr="00031BF1">
              <w:rPr>
                <w:sz w:val="18"/>
                <w:szCs w:val="18"/>
              </w:rPr>
              <w:t>FARINGOLARINGITIS, LARINGOFARINGITIS, LARINGOFARINGITIS AGUDA, FARINGOAMIGDALITIS, FARINGOTRAQUEITIS AGUDA, INFECCION MULTIPLE DE VIA RESPIRATORIA ALTA, FARINGOAMIGDALITIS AGUDA, FARINGOTRAQUEITIS, RINOFARINGOAMIGDALITIS, FARINGOAMIGDALITIS PULTACEA, INFECCION AGUDA DE VIAS RESPIRATORIAS SUPERIORES, INFECCION RESPIRATORIA ALTA, INFECCION RESPIRATORIA DE VIAS ALTAS, CUADRO PSEUDOGRIPAL, INFECCION DE VIAS RESPIRATORIAS SUPERIORES, INFECCION VIAS RESPIRATORIAS ALTAS, INFECCION RESPIRATORIA SUPERIOR</w:t>
            </w:r>
          </w:p>
        </w:tc>
        <w:tc>
          <w:tcPr>
            <w:tcW w:w="306" w:type="pct"/>
          </w:tcPr>
          <w:p w14:paraId="7C0C6326" w14:textId="77777777" w:rsidR="00456C1E" w:rsidRPr="00031BF1" w:rsidRDefault="00456C1E" w:rsidP="00646038">
            <w:pPr>
              <w:rPr>
                <w:sz w:val="18"/>
                <w:szCs w:val="18"/>
              </w:rPr>
            </w:pPr>
            <w:r w:rsidRPr="00031BF1">
              <w:rPr>
                <w:sz w:val="18"/>
                <w:szCs w:val="18"/>
              </w:rPr>
              <w:t>465</w:t>
            </w:r>
          </w:p>
        </w:tc>
        <w:tc>
          <w:tcPr>
            <w:tcW w:w="355" w:type="pct"/>
          </w:tcPr>
          <w:p w14:paraId="0244AEB5" w14:textId="77777777" w:rsidR="00456C1E" w:rsidRPr="00031BF1" w:rsidRDefault="00456C1E" w:rsidP="00646038">
            <w:pPr>
              <w:rPr>
                <w:sz w:val="18"/>
                <w:szCs w:val="18"/>
              </w:rPr>
            </w:pPr>
            <w:r w:rsidRPr="00031BF1">
              <w:rPr>
                <w:sz w:val="18"/>
                <w:szCs w:val="18"/>
              </w:rPr>
              <w:t>460</w:t>
            </w:r>
          </w:p>
        </w:tc>
      </w:tr>
      <w:tr w:rsidR="00FD12B4" w:rsidRPr="00031BF1" w14:paraId="07D3948D" w14:textId="77777777" w:rsidTr="0015414A">
        <w:tc>
          <w:tcPr>
            <w:tcW w:w="4339" w:type="pct"/>
          </w:tcPr>
          <w:p w14:paraId="2DEC0902" w14:textId="77777777" w:rsidR="00456C1E" w:rsidRPr="00031BF1" w:rsidRDefault="00456C1E" w:rsidP="00646038">
            <w:pPr>
              <w:rPr>
                <w:sz w:val="18"/>
                <w:szCs w:val="18"/>
              </w:rPr>
            </w:pPr>
            <w:r w:rsidRPr="00031BF1">
              <w:rPr>
                <w:sz w:val="18"/>
                <w:szCs w:val="18"/>
              </w:rPr>
              <w:t>BRONQUIOLITIS, BRONQUIOLITIS AGUDA, BRONQUITIS AGUDA, BRONQUITIS AGUDA PURULENTA, BRONQUITIS ESPASTICA, CATARRO BRONQUIAL AGUDO, CATARRO BRONQUIAL ESPASTICO TRAQUEOBRONQUITIS AGUDA</w:t>
            </w:r>
          </w:p>
        </w:tc>
        <w:tc>
          <w:tcPr>
            <w:tcW w:w="306" w:type="pct"/>
          </w:tcPr>
          <w:p w14:paraId="532268F1" w14:textId="77777777" w:rsidR="00456C1E" w:rsidRPr="00031BF1" w:rsidRDefault="00456C1E" w:rsidP="00646038">
            <w:pPr>
              <w:rPr>
                <w:sz w:val="18"/>
                <w:szCs w:val="18"/>
              </w:rPr>
            </w:pPr>
            <w:r w:rsidRPr="00031BF1">
              <w:rPr>
                <w:sz w:val="18"/>
                <w:szCs w:val="18"/>
              </w:rPr>
              <w:t>466</w:t>
            </w:r>
          </w:p>
        </w:tc>
        <w:tc>
          <w:tcPr>
            <w:tcW w:w="355" w:type="pct"/>
          </w:tcPr>
          <w:p w14:paraId="6A20CFDF" w14:textId="77777777" w:rsidR="00456C1E" w:rsidRPr="00031BF1" w:rsidRDefault="00456C1E" w:rsidP="00646038">
            <w:pPr>
              <w:rPr>
                <w:sz w:val="18"/>
                <w:szCs w:val="18"/>
              </w:rPr>
            </w:pPr>
            <w:r w:rsidRPr="00031BF1">
              <w:rPr>
                <w:sz w:val="18"/>
                <w:szCs w:val="18"/>
              </w:rPr>
              <w:t>466</w:t>
            </w:r>
          </w:p>
        </w:tc>
      </w:tr>
      <w:tr w:rsidR="00FD12B4" w:rsidRPr="00031BF1" w14:paraId="5C141400" w14:textId="77777777" w:rsidTr="0015414A">
        <w:trPr>
          <w:trHeight w:val="854"/>
        </w:trPr>
        <w:tc>
          <w:tcPr>
            <w:tcW w:w="4339" w:type="pct"/>
          </w:tcPr>
          <w:p w14:paraId="5AF6A656" w14:textId="77777777" w:rsidR="00456C1E" w:rsidRPr="00031BF1" w:rsidRDefault="00456C1E" w:rsidP="00646038">
            <w:pPr>
              <w:rPr>
                <w:sz w:val="18"/>
                <w:szCs w:val="18"/>
              </w:rPr>
            </w:pPr>
            <w:r w:rsidRPr="00031BF1">
              <w:rPr>
                <w:sz w:val="18"/>
                <w:szCs w:val="18"/>
              </w:rPr>
              <w:t>BRONCONEUMONIA GRIPAL, GRIPE CON NEUMONIA, NEUMONIA GRIPAL, FARINGITIS GRIPAL, GRIPE, INFECCION RESPIRATORIA GRIPAL, LARINGITIS GRIPAL, SINDROME GRIPAL, GRIPE A H1N1 PROBABLE, SOSPECHA DE GRIPE A H1N1, CUADRO GRIPAL, PROCESO GRIPAL</w:t>
            </w:r>
          </w:p>
        </w:tc>
        <w:tc>
          <w:tcPr>
            <w:tcW w:w="306" w:type="pct"/>
          </w:tcPr>
          <w:p w14:paraId="43580529" w14:textId="77777777" w:rsidR="00456C1E" w:rsidRPr="00031BF1" w:rsidRDefault="00456C1E" w:rsidP="00646038">
            <w:pPr>
              <w:rPr>
                <w:sz w:val="18"/>
                <w:szCs w:val="18"/>
              </w:rPr>
            </w:pPr>
            <w:r w:rsidRPr="00031BF1">
              <w:rPr>
                <w:sz w:val="18"/>
                <w:szCs w:val="18"/>
              </w:rPr>
              <w:t>487</w:t>
            </w:r>
          </w:p>
        </w:tc>
        <w:tc>
          <w:tcPr>
            <w:tcW w:w="355" w:type="pct"/>
          </w:tcPr>
          <w:p w14:paraId="22CAE085" w14:textId="77777777" w:rsidR="00456C1E" w:rsidRPr="00031BF1" w:rsidRDefault="00456C1E" w:rsidP="00646038">
            <w:pPr>
              <w:rPr>
                <w:sz w:val="18"/>
                <w:szCs w:val="18"/>
              </w:rPr>
            </w:pPr>
            <w:r w:rsidRPr="00031BF1">
              <w:rPr>
                <w:sz w:val="18"/>
                <w:szCs w:val="18"/>
              </w:rPr>
              <w:t>487 (486)</w:t>
            </w:r>
          </w:p>
        </w:tc>
      </w:tr>
    </w:tbl>
    <w:p w14:paraId="09501AFF" w14:textId="77777777" w:rsidR="00462E6D" w:rsidRPr="006823E8" w:rsidRDefault="00462E6D" w:rsidP="0015414A"/>
    <w:sectPr w:rsidR="00462E6D" w:rsidRPr="006823E8" w:rsidSect="00DD5CFB">
      <w:headerReference w:type="default" r:id="rId9"/>
      <w:pgSz w:w="11906" w:h="16838"/>
      <w:pgMar w:top="737" w:right="1077" w:bottom="709"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8DFA" w14:textId="77777777" w:rsidR="002570D7" w:rsidRDefault="002570D7" w:rsidP="00FD12B4">
      <w:pPr>
        <w:spacing w:after="0" w:line="240" w:lineRule="auto"/>
      </w:pPr>
      <w:r>
        <w:separator/>
      </w:r>
    </w:p>
  </w:endnote>
  <w:endnote w:type="continuationSeparator" w:id="0">
    <w:p w14:paraId="30B336CC" w14:textId="77777777" w:rsidR="002570D7" w:rsidRDefault="002570D7" w:rsidP="00FD1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F9CAB" w14:textId="77777777" w:rsidR="002570D7" w:rsidRDefault="002570D7" w:rsidP="00FD12B4">
      <w:pPr>
        <w:spacing w:after="0" w:line="240" w:lineRule="auto"/>
      </w:pPr>
      <w:r>
        <w:separator/>
      </w:r>
    </w:p>
  </w:footnote>
  <w:footnote w:type="continuationSeparator" w:id="0">
    <w:p w14:paraId="701488C2" w14:textId="77777777" w:rsidR="002570D7" w:rsidRDefault="002570D7" w:rsidP="00FD12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470"/>
    </w:tblGrid>
    <w:tr w:rsidR="00FD12B4" w14:paraId="1EF5210C" w14:textId="77777777" w:rsidTr="00646038">
      <w:trPr>
        <w:trHeight w:val="1375"/>
      </w:trPr>
      <w:tc>
        <w:tcPr>
          <w:tcW w:w="4813" w:type="dxa"/>
        </w:tcPr>
        <w:p w14:paraId="00862BA7" w14:textId="77777777" w:rsidR="00FD12B4" w:rsidRDefault="00FD12B4" w:rsidP="00FD12B4">
          <w:pPr>
            <w:pStyle w:val="Encabezado"/>
          </w:pPr>
          <w:r>
            <w:rPr>
              <w:noProof/>
              <w:lang w:val="en-US"/>
            </w:rPr>
            <w:drawing>
              <wp:anchor distT="0" distB="0" distL="114300" distR="114300" simplePos="0" relativeHeight="251659264" behindDoc="0" locked="0" layoutInCell="1" allowOverlap="1" wp14:anchorId="528316EE" wp14:editId="0A1398B5">
                <wp:simplePos x="0" y="0"/>
                <wp:positionH relativeFrom="column">
                  <wp:posOffset>-1509</wp:posOffset>
                </wp:positionH>
                <wp:positionV relativeFrom="paragraph">
                  <wp:posOffset>82521</wp:posOffset>
                </wp:positionV>
                <wp:extent cx="1562669" cy="652548"/>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69" cy="652548"/>
                        </a:xfrm>
                        <a:prstGeom prst="rect">
                          <a:avLst/>
                        </a:prstGeom>
                        <a:noFill/>
                      </pic:spPr>
                    </pic:pic>
                  </a:graphicData>
                </a:graphic>
              </wp:anchor>
            </w:drawing>
          </w:r>
        </w:p>
      </w:tc>
      <w:tc>
        <w:tcPr>
          <w:tcW w:w="4470" w:type="dxa"/>
        </w:tcPr>
        <w:p w14:paraId="36456309" w14:textId="77777777" w:rsidR="00FD12B4" w:rsidRDefault="00FD12B4" w:rsidP="00FD12B4">
          <w:pPr>
            <w:pStyle w:val="Encabezado"/>
            <w:jc w:val="right"/>
          </w:pPr>
          <w:r>
            <w:rPr>
              <w:noProof/>
              <w:lang w:val="en-US"/>
            </w:rPr>
            <w:drawing>
              <wp:anchor distT="0" distB="0" distL="114300" distR="114300" simplePos="0" relativeHeight="251660288" behindDoc="0" locked="0" layoutInCell="1" allowOverlap="1" wp14:anchorId="2CD60EFA" wp14:editId="2B0961A4">
                <wp:simplePos x="0" y="0"/>
                <wp:positionH relativeFrom="column">
                  <wp:posOffset>1901911</wp:posOffset>
                </wp:positionH>
                <wp:positionV relativeFrom="paragraph">
                  <wp:posOffset>94849</wp:posOffset>
                </wp:positionV>
                <wp:extent cx="689212" cy="642151"/>
                <wp:effectExtent l="0" t="0" r="0" b="571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RED DE MEDICOS (HALO LUZ).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9212" cy="642151"/>
                        </a:xfrm>
                        <a:prstGeom prst="rect">
                          <a:avLst/>
                        </a:prstGeom>
                      </pic:spPr>
                    </pic:pic>
                  </a:graphicData>
                </a:graphic>
                <wp14:sizeRelH relativeFrom="margin">
                  <wp14:pctWidth>0</wp14:pctWidth>
                </wp14:sizeRelH>
                <wp14:sizeRelV relativeFrom="margin">
                  <wp14:pctHeight>0</wp14:pctHeight>
                </wp14:sizeRelV>
              </wp:anchor>
            </w:drawing>
          </w:r>
        </w:p>
      </w:tc>
    </w:tr>
  </w:tbl>
  <w:p w14:paraId="3D0180F5" w14:textId="77777777" w:rsidR="00FD12B4" w:rsidRDefault="00FD12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FD256A"/>
    <w:multiLevelType w:val="hybridMultilevel"/>
    <w:tmpl w:val="A65487EA"/>
    <w:lvl w:ilvl="0" w:tplc="08A62F72">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6BE44BEB"/>
    <w:multiLevelType w:val="hybridMultilevel"/>
    <w:tmpl w:val="5CCC57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51166AA"/>
    <w:multiLevelType w:val="hybridMultilevel"/>
    <w:tmpl w:val="55B8F0F2"/>
    <w:lvl w:ilvl="0" w:tplc="A8BA8C1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0F"/>
    <w:rsid w:val="00031BF1"/>
    <w:rsid w:val="000B521A"/>
    <w:rsid w:val="00113A2A"/>
    <w:rsid w:val="00140943"/>
    <w:rsid w:val="0015414A"/>
    <w:rsid w:val="0020498B"/>
    <w:rsid w:val="002570D7"/>
    <w:rsid w:val="002C2325"/>
    <w:rsid w:val="00372F63"/>
    <w:rsid w:val="00456C1E"/>
    <w:rsid w:val="00462E6D"/>
    <w:rsid w:val="00470E65"/>
    <w:rsid w:val="005B4F10"/>
    <w:rsid w:val="005D71B8"/>
    <w:rsid w:val="006823E8"/>
    <w:rsid w:val="0069307C"/>
    <w:rsid w:val="00707DDB"/>
    <w:rsid w:val="00844935"/>
    <w:rsid w:val="008569AA"/>
    <w:rsid w:val="008B201D"/>
    <w:rsid w:val="00953820"/>
    <w:rsid w:val="009C692D"/>
    <w:rsid w:val="00A9469E"/>
    <w:rsid w:val="00AA2E7D"/>
    <w:rsid w:val="00AB4E80"/>
    <w:rsid w:val="00AD1B9C"/>
    <w:rsid w:val="00C76E36"/>
    <w:rsid w:val="00CA597F"/>
    <w:rsid w:val="00D744F7"/>
    <w:rsid w:val="00DB4898"/>
    <w:rsid w:val="00DD4BFC"/>
    <w:rsid w:val="00DD5CFB"/>
    <w:rsid w:val="00DF5D0F"/>
    <w:rsid w:val="00E150D6"/>
    <w:rsid w:val="00F36357"/>
    <w:rsid w:val="00FD12B4"/>
    <w:rsid w:val="00FD6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A35E5"/>
  <w15:chartTrackingRefBased/>
  <w15:docId w15:val="{E72B96C1-AFD0-4087-9A79-CB143CFB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D0F"/>
    <w:pPr>
      <w:spacing w:after="200" w:line="276" w:lineRule="auto"/>
    </w:pPr>
  </w:style>
  <w:style w:type="paragraph" w:styleId="Ttulo1">
    <w:name w:val="heading 1"/>
    <w:basedOn w:val="Normal"/>
    <w:next w:val="Normal"/>
    <w:link w:val="Ttulo1Car"/>
    <w:uiPriority w:val="9"/>
    <w:qFormat/>
    <w:rsid w:val="00FD12B4"/>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44F7"/>
    <w:pPr>
      <w:keepNext/>
      <w:keepLines/>
      <w:spacing w:before="120" w:after="120" w:line="240" w:lineRule="auto"/>
      <w:jc w:val="both"/>
      <w:outlineLvl w:val="1"/>
    </w:pPr>
    <w:rPr>
      <w:rFonts w:ascii="Candara" w:eastAsiaTheme="majorEastAsia" w:hAnsi="Candara" w:cstheme="majorBidi"/>
      <w:b/>
      <w:color w:val="1F4E79" w:themeColor="accent1" w:themeShade="80"/>
      <w:sz w:val="32"/>
      <w:szCs w:val="32"/>
      <w:lang w:eastAsia="es-ES"/>
    </w:rPr>
  </w:style>
  <w:style w:type="paragraph" w:styleId="Ttulo3">
    <w:name w:val="heading 3"/>
    <w:basedOn w:val="Normal"/>
    <w:next w:val="Normal"/>
    <w:link w:val="Ttulo3Car"/>
    <w:uiPriority w:val="9"/>
    <w:unhideWhenUsed/>
    <w:qFormat/>
    <w:rsid w:val="00D744F7"/>
    <w:pPr>
      <w:keepNext/>
      <w:keepLines/>
      <w:spacing w:before="120" w:after="120" w:line="240" w:lineRule="auto"/>
      <w:jc w:val="both"/>
      <w:outlineLvl w:val="2"/>
    </w:pPr>
    <w:rPr>
      <w:rFonts w:ascii="Candara" w:eastAsiaTheme="majorEastAsia" w:hAnsi="Candara" w:cstheme="majorBidi"/>
      <w:b/>
      <w:color w:val="222A35" w:themeColor="text2" w:themeShade="8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4935"/>
    <w:pPr>
      <w:spacing w:after="0" w:line="240" w:lineRule="auto"/>
      <w:ind w:left="720"/>
    </w:pPr>
    <w:rPr>
      <w:rFonts w:ascii="Calibri" w:hAnsi="Calibri" w:cs="Calibri"/>
      <w:lang w:val="en-US"/>
    </w:rPr>
  </w:style>
  <w:style w:type="character" w:customStyle="1" w:styleId="Ttulo2Car">
    <w:name w:val="Título 2 Car"/>
    <w:basedOn w:val="Fuentedeprrafopredeter"/>
    <w:link w:val="Ttulo2"/>
    <w:uiPriority w:val="9"/>
    <w:rsid w:val="00D744F7"/>
    <w:rPr>
      <w:rFonts w:ascii="Candara" w:eastAsiaTheme="majorEastAsia" w:hAnsi="Candara" w:cstheme="majorBidi"/>
      <w:b/>
      <w:color w:val="1F4E79" w:themeColor="accent1" w:themeShade="80"/>
      <w:sz w:val="32"/>
      <w:szCs w:val="32"/>
      <w:lang w:eastAsia="es-ES"/>
    </w:rPr>
  </w:style>
  <w:style w:type="character" w:customStyle="1" w:styleId="Ttulo3Car">
    <w:name w:val="Título 3 Car"/>
    <w:basedOn w:val="Fuentedeprrafopredeter"/>
    <w:link w:val="Ttulo3"/>
    <w:uiPriority w:val="9"/>
    <w:rsid w:val="00D744F7"/>
    <w:rPr>
      <w:rFonts w:ascii="Candara" w:eastAsiaTheme="majorEastAsia" w:hAnsi="Candara" w:cstheme="majorBidi"/>
      <w:b/>
      <w:color w:val="222A35" w:themeColor="text2" w:themeShade="80"/>
      <w:sz w:val="28"/>
      <w:szCs w:val="28"/>
      <w:lang w:eastAsia="es-ES"/>
    </w:rPr>
  </w:style>
  <w:style w:type="table" w:styleId="Tablaconcuadrcula">
    <w:name w:val="Table Grid"/>
    <w:basedOn w:val="Tablanormal"/>
    <w:uiPriority w:val="59"/>
    <w:rsid w:val="00D744F7"/>
    <w:pPr>
      <w:jc w:val="both"/>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
    <w:name w:val="Grid Table 1 Light"/>
    <w:basedOn w:val="Tablanormal"/>
    <w:uiPriority w:val="46"/>
    <w:rsid w:val="005D71B8"/>
    <w:pPr>
      <w:spacing w:after="0" w:line="240" w:lineRule="auto"/>
    </w:pPr>
    <w:rPr>
      <w:rFonts w:eastAsiaTheme="minorEastAsia"/>
      <w:lang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DB4898"/>
    <w:pPr>
      <w:spacing w:before="120" w:after="160" w:line="240" w:lineRule="auto"/>
      <w:jc w:val="both"/>
    </w:pPr>
    <w:rPr>
      <w:rFonts w:ascii="Calibri" w:eastAsiaTheme="minorEastAsia" w:hAnsi="Calibri"/>
      <w:b/>
      <w:bCs/>
      <w:color w:val="44546A" w:themeColor="text2"/>
      <w:lang w:eastAsia="es-ES"/>
    </w:rPr>
  </w:style>
  <w:style w:type="table" w:customStyle="1" w:styleId="Tabladecuadrcula1clara1">
    <w:name w:val="Tabla de cuadrícula 1 clara1"/>
    <w:basedOn w:val="Tablanormal"/>
    <w:uiPriority w:val="46"/>
    <w:rsid w:val="00DB4898"/>
    <w:pPr>
      <w:spacing w:after="0" w:line="240" w:lineRule="auto"/>
    </w:pPr>
    <w:rPr>
      <w:rFonts w:eastAsiaTheme="minorEastAsia"/>
      <w:lang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nhideWhenUsed/>
    <w:rsid w:val="00DB4898"/>
    <w:pPr>
      <w:tabs>
        <w:tab w:val="center" w:pos="4252"/>
        <w:tab w:val="right" w:pos="8504"/>
      </w:tabs>
      <w:spacing w:after="0" w:line="240" w:lineRule="auto"/>
    </w:pPr>
  </w:style>
  <w:style w:type="character" w:customStyle="1" w:styleId="EncabezadoCar">
    <w:name w:val="Encabezado Car"/>
    <w:basedOn w:val="Fuentedeprrafopredeter"/>
    <w:link w:val="Encabezado"/>
    <w:rsid w:val="00DB4898"/>
  </w:style>
  <w:style w:type="paragraph" w:styleId="Piedepgina">
    <w:name w:val="footer"/>
    <w:basedOn w:val="Normal"/>
    <w:link w:val="PiedepginaCar"/>
    <w:uiPriority w:val="99"/>
    <w:unhideWhenUsed/>
    <w:rsid w:val="00DB48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98"/>
  </w:style>
  <w:style w:type="paragraph" w:styleId="Textodeglobo">
    <w:name w:val="Balloon Text"/>
    <w:basedOn w:val="Normal"/>
    <w:link w:val="TextodegloboCar"/>
    <w:uiPriority w:val="99"/>
    <w:semiHidden/>
    <w:unhideWhenUsed/>
    <w:rsid w:val="00DB48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98"/>
    <w:rPr>
      <w:rFonts w:ascii="Tahoma" w:hAnsi="Tahoma" w:cs="Tahoma"/>
      <w:sz w:val="16"/>
      <w:szCs w:val="16"/>
    </w:rPr>
  </w:style>
  <w:style w:type="character" w:customStyle="1" w:styleId="Ttulo1Car">
    <w:name w:val="Título 1 Car"/>
    <w:basedOn w:val="Fuentedeprrafopredeter"/>
    <w:link w:val="Ttulo1"/>
    <w:uiPriority w:val="9"/>
    <w:rsid w:val="00FD12B4"/>
    <w:rPr>
      <w:rFonts w:asciiTheme="majorHAnsi" w:eastAsiaTheme="majorEastAsia" w:hAnsiTheme="majorHAnsi" w:cstheme="majorBidi"/>
      <w:color w:val="2E74B5" w:themeColor="accent1" w:themeShade="BF"/>
      <w:sz w:val="32"/>
      <w:szCs w:val="32"/>
    </w:rPr>
  </w:style>
  <w:style w:type="character" w:styleId="Hipervnculo">
    <w:name w:val="Hyperlink"/>
    <w:basedOn w:val="Fuentedeprrafopredeter"/>
    <w:rsid w:val="00FD12B4"/>
    <w:rPr>
      <w:color w:val="0563C1" w:themeColor="hyperlink"/>
      <w:u w:val="single"/>
    </w:rPr>
  </w:style>
  <w:style w:type="character" w:styleId="Refdecomentario">
    <w:name w:val="annotation reference"/>
    <w:basedOn w:val="Fuentedeprrafopredeter"/>
    <w:uiPriority w:val="99"/>
    <w:semiHidden/>
    <w:unhideWhenUsed/>
    <w:rsid w:val="00F36357"/>
    <w:rPr>
      <w:sz w:val="16"/>
      <w:szCs w:val="16"/>
    </w:rPr>
  </w:style>
  <w:style w:type="paragraph" w:styleId="Textocomentario">
    <w:name w:val="annotation text"/>
    <w:basedOn w:val="Normal"/>
    <w:link w:val="TextocomentarioCar"/>
    <w:uiPriority w:val="99"/>
    <w:semiHidden/>
    <w:unhideWhenUsed/>
    <w:rsid w:val="00F363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36357"/>
    <w:rPr>
      <w:sz w:val="20"/>
      <w:szCs w:val="20"/>
    </w:rPr>
  </w:style>
  <w:style w:type="paragraph" w:styleId="Asuntodelcomentario">
    <w:name w:val="annotation subject"/>
    <w:basedOn w:val="Textocomentario"/>
    <w:next w:val="Textocomentario"/>
    <w:link w:val="AsuntodelcomentarioCar"/>
    <w:uiPriority w:val="99"/>
    <w:semiHidden/>
    <w:unhideWhenUsed/>
    <w:rsid w:val="00F36357"/>
    <w:rPr>
      <w:b/>
      <w:bCs/>
    </w:rPr>
  </w:style>
  <w:style w:type="character" w:customStyle="1" w:styleId="AsuntodelcomentarioCar">
    <w:name w:val="Asunto del comentario Car"/>
    <w:basedOn w:val="TextocomentarioCar"/>
    <w:link w:val="Asuntodelcomentario"/>
    <w:uiPriority w:val="99"/>
    <w:semiHidden/>
    <w:rsid w:val="00F36357"/>
    <w:rPr>
      <w:b/>
      <w:bCs/>
      <w:sz w:val="20"/>
      <w:szCs w:val="20"/>
    </w:rPr>
  </w:style>
  <w:style w:type="paragraph" w:styleId="Revisin">
    <w:name w:val="Revision"/>
    <w:hidden/>
    <w:uiPriority w:val="99"/>
    <w:semiHidden/>
    <w:rsid w:val="00F36357"/>
    <w:pPr>
      <w:spacing w:after="0" w:line="240" w:lineRule="auto"/>
    </w:pPr>
  </w:style>
  <w:style w:type="character" w:styleId="Hipervnculovisitado">
    <w:name w:val="FollowedHyperlink"/>
    <w:basedOn w:val="Fuentedeprrafopredeter"/>
    <w:uiPriority w:val="99"/>
    <w:semiHidden/>
    <w:unhideWhenUsed/>
    <w:rsid w:val="00AD1B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61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udcastillayleon.es/profesionales/es/centinelas/programa-general-registro-2020/estudio-covid-19-infecciones-respiratorias-agudas" TargetMode="External"/><Relationship Id="rId3" Type="http://schemas.openxmlformats.org/officeDocument/2006/relationships/settings" Target="settings.xml"/><Relationship Id="rId7" Type="http://schemas.openxmlformats.org/officeDocument/2006/relationships/hyperlink" Target="mailto:redcentinela@j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886</Words>
  <Characters>5055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Ordax Diez</dc:creator>
  <cp:keywords/>
  <dc:description/>
  <cp:lastModifiedBy>Tomas Vega Alonso</cp:lastModifiedBy>
  <cp:revision>4</cp:revision>
  <dcterms:created xsi:type="dcterms:W3CDTF">2020-06-07T09:42:00Z</dcterms:created>
  <dcterms:modified xsi:type="dcterms:W3CDTF">2020-06-07T14:56:00Z</dcterms:modified>
</cp:coreProperties>
</file>