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1E" w:rsidRDefault="00AC531E">
      <w:r>
        <w:t>1</w:t>
      </w:r>
      <w:r w:rsidR="009557FD">
        <w:t>.-</w:t>
      </w:r>
      <w:r>
        <w:t xml:space="preserve"> Acceder al Portal del Medicamento:</w:t>
      </w:r>
    </w:p>
    <w:p w:rsidR="00201971" w:rsidRDefault="00C724C7">
      <w:hyperlink r:id="rId5" w:history="1">
        <w:r w:rsidR="00AC531E" w:rsidRPr="00146D1D">
          <w:rPr>
            <w:rStyle w:val="Hipervnculo"/>
          </w:rPr>
          <w:t>https://www.saludcastillayleon.es/portalmedicamento/es</w:t>
        </w:r>
      </w:hyperlink>
    </w:p>
    <w:p w:rsidR="00AC531E" w:rsidRDefault="00AC531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273050</wp:posOffset>
                </wp:positionV>
                <wp:extent cx="600075" cy="323850"/>
                <wp:effectExtent l="0" t="0" r="28575" b="1905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 Elipse" o:spid="_x0000_s1026" style="position:absolute;margin-left:376.95pt;margin-top:21.5pt;width:47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" filled="f" strokecolor="red" strokeweight="2pt"/>
            </w:pict>
          </mc:Fallback>
        </mc:AlternateContent>
      </w:r>
      <w:r>
        <w:t>2.- Autenticarse, picando en el candado</w:t>
      </w:r>
    </w:p>
    <w:p w:rsidR="00AC531E" w:rsidRDefault="00AC531E">
      <w:r>
        <w:rPr>
          <w:noProof/>
          <w:lang w:eastAsia="es-ES"/>
        </w:rPr>
        <w:drawing>
          <wp:inline distT="0" distB="0" distL="0" distR="0">
            <wp:extent cx="5391150" cy="752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31E" w:rsidRDefault="00AC531E">
      <w:r>
        <w:t>3.-Introducir el usuario y contraseña</w:t>
      </w:r>
    </w:p>
    <w:p w:rsidR="00AC531E" w:rsidRDefault="00AC531E">
      <w:r>
        <w:rPr>
          <w:noProof/>
          <w:lang w:eastAsia="es-ES"/>
        </w:rPr>
        <w:drawing>
          <wp:inline distT="0" distB="0" distL="0" distR="0">
            <wp:extent cx="2886075" cy="248503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8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31E" w:rsidRDefault="00AC531E">
      <w:r>
        <w:t xml:space="preserve">4.- Dirigirse  al apartado del Portal (flecha roja), seleccionar </w:t>
      </w:r>
      <w:proofErr w:type="gramStart"/>
      <w:r>
        <w:t>al</w:t>
      </w:r>
      <w:proofErr w:type="gramEnd"/>
      <w:r>
        <w:t xml:space="preserve"> pestaña </w:t>
      </w:r>
      <w:proofErr w:type="spellStart"/>
      <w:r>
        <w:t>Concylia</w:t>
      </w:r>
      <w:proofErr w:type="spellEnd"/>
      <w:r>
        <w:t>.</w:t>
      </w:r>
    </w:p>
    <w:p w:rsidR="00AC531E" w:rsidRDefault="00AC531E">
      <w:r>
        <w:rPr>
          <w:noProof/>
          <w:lang w:eastAsia="es-ES"/>
        </w:rPr>
        <w:drawing>
          <wp:inline distT="0" distB="0" distL="0" distR="0">
            <wp:extent cx="3093473" cy="29051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473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31E" w:rsidRDefault="00AC531E">
      <w:r>
        <w:t xml:space="preserve">5.- </w:t>
      </w:r>
      <w:r w:rsidR="0011353A">
        <w:t xml:space="preserve">Picar en Informes </w:t>
      </w:r>
      <w:proofErr w:type="spellStart"/>
      <w:r w:rsidR="0011353A">
        <w:t>Concylia</w:t>
      </w:r>
      <w:proofErr w:type="spellEnd"/>
      <w:r w:rsidR="0011353A">
        <w:t xml:space="preserve"> y así se accederá a los informes del cupo </w:t>
      </w:r>
    </w:p>
    <w:p w:rsidR="0011353A" w:rsidRDefault="0011353A">
      <w:r>
        <w:rPr>
          <w:noProof/>
          <w:lang w:eastAsia="es-ES"/>
        </w:rPr>
        <w:lastRenderedPageBreak/>
        <w:drawing>
          <wp:inline distT="0" distB="0" distL="0" distR="0" wp14:anchorId="022D34AF" wp14:editId="1B4ABF85">
            <wp:extent cx="2886075" cy="12382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3A" w:rsidRDefault="0011353A" w:rsidP="0011353A">
      <w:r>
        <w:t xml:space="preserve">6 Abrir el informe referido a </w:t>
      </w:r>
      <w:proofErr w:type="spellStart"/>
      <w:proofErr w:type="gramStart"/>
      <w:r>
        <w:t>Valsartán</w:t>
      </w:r>
      <w:proofErr w:type="spellEnd"/>
      <w:r>
        <w:t xml:space="preserve"> :</w:t>
      </w:r>
      <w:proofErr w:type="gramEnd"/>
      <w:r>
        <w:t xml:space="preserve"> </w:t>
      </w:r>
    </w:p>
    <w:p w:rsidR="0011353A" w:rsidRPr="00406EEF" w:rsidRDefault="0011353A" w:rsidP="0011353A">
      <w:pPr>
        <w:rPr>
          <w:sz w:val="32"/>
          <w:u w:val="single"/>
        </w:rPr>
      </w:pPr>
      <w:r>
        <w:rPr>
          <w:sz w:val="32"/>
          <w:u w:val="single"/>
        </w:rPr>
        <w:t xml:space="preserve">Pacientes con </w:t>
      </w:r>
      <w:proofErr w:type="spellStart"/>
      <w:r>
        <w:rPr>
          <w:sz w:val="32"/>
          <w:u w:val="single"/>
        </w:rPr>
        <w:t>valsartán</w:t>
      </w:r>
      <w:proofErr w:type="spellEnd"/>
      <w:r>
        <w:rPr>
          <w:sz w:val="32"/>
          <w:u w:val="single"/>
        </w:rPr>
        <w:t xml:space="preserve"> afectados por la alerta de calidad </w:t>
      </w:r>
    </w:p>
    <w:p w:rsidR="0011353A" w:rsidRDefault="0011353A" w:rsidP="0011353A">
      <w:pPr>
        <w:spacing w:line="240" w:lineRule="auto"/>
        <w:jc w:val="both"/>
        <w:rPr>
          <w:sz w:val="28"/>
        </w:rPr>
      </w:pPr>
      <w:r>
        <w:rPr>
          <w:noProof/>
          <w:sz w:val="28"/>
          <w:lang w:eastAsia="es-ES"/>
        </w:rPr>
        <w:drawing>
          <wp:inline distT="0" distB="0" distL="0" distR="0">
            <wp:extent cx="5391150" cy="1581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3A" w:rsidRDefault="009557FD" w:rsidP="0011353A">
      <w:pPr>
        <w:spacing w:line="240" w:lineRule="auto"/>
        <w:jc w:val="both"/>
        <w:rPr>
          <w:sz w:val="28"/>
        </w:rPr>
      </w:pPr>
      <w:proofErr w:type="spellStart"/>
      <w:r>
        <w:rPr>
          <w:sz w:val="28"/>
        </w:rPr>
        <w:t>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Recyl</w:t>
      </w:r>
      <w:proofErr w:type="spellEnd"/>
      <w:r>
        <w:rPr>
          <w:sz w:val="28"/>
        </w:rPr>
        <w:t xml:space="preserve">: paciente está en </w:t>
      </w:r>
      <w:proofErr w:type="spellStart"/>
      <w:r>
        <w:rPr>
          <w:sz w:val="28"/>
        </w:rPr>
        <w:t>Recyl</w:t>
      </w:r>
      <w:proofErr w:type="spellEnd"/>
      <w:r>
        <w:rPr>
          <w:sz w:val="28"/>
        </w:rPr>
        <w:t xml:space="preserve"> S= Sí S=No</w:t>
      </w:r>
    </w:p>
    <w:p w:rsidR="009557FD" w:rsidRDefault="009557FD" w:rsidP="0011353A">
      <w:pPr>
        <w:spacing w:line="240" w:lineRule="auto"/>
        <w:jc w:val="both"/>
        <w:rPr>
          <w:sz w:val="28"/>
        </w:rPr>
      </w:pPr>
      <w:r>
        <w:rPr>
          <w:sz w:val="28"/>
        </w:rPr>
        <w:t>DOE: NO =ha sido prescrito por marca SI= prescrito en DOE</w:t>
      </w:r>
    </w:p>
    <w:p w:rsidR="0011353A" w:rsidRDefault="0011353A" w:rsidP="0011353A">
      <w:pPr>
        <w:spacing w:line="240" w:lineRule="auto"/>
        <w:jc w:val="both"/>
        <w:rPr>
          <w:sz w:val="28"/>
        </w:rPr>
      </w:pPr>
    </w:p>
    <w:p w:rsidR="0011353A" w:rsidRPr="009557FD" w:rsidRDefault="0011353A" w:rsidP="0011353A">
      <w:pPr>
        <w:spacing w:line="240" w:lineRule="auto"/>
        <w:jc w:val="both"/>
        <w:rPr>
          <w:sz w:val="28"/>
          <w:u w:val="single"/>
        </w:rPr>
      </w:pPr>
      <w:r w:rsidRPr="009557FD">
        <w:rPr>
          <w:sz w:val="28"/>
          <w:u w:val="single"/>
        </w:rPr>
        <w:t>Texto que acompaña al informe</w:t>
      </w:r>
    </w:p>
    <w:p w:rsidR="0011353A" w:rsidRDefault="0011353A" w:rsidP="0011353A">
      <w:pPr>
        <w:spacing w:line="240" w:lineRule="auto"/>
        <w:jc w:val="both"/>
        <w:rPr>
          <w:sz w:val="28"/>
        </w:rPr>
      </w:pPr>
      <w:bookmarkStart w:id="0" w:name="_GoBack"/>
      <w:r w:rsidRPr="003561E7">
        <w:rPr>
          <w:sz w:val="28"/>
        </w:rPr>
        <w:t xml:space="preserve">La relación de </w:t>
      </w:r>
      <w:proofErr w:type="spellStart"/>
      <w:r w:rsidRPr="003561E7">
        <w:rPr>
          <w:sz w:val="28"/>
        </w:rPr>
        <w:t>cips</w:t>
      </w:r>
      <w:proofErr w:type="spellEnd"/>
      <w:r w:rsidRPr="003561E7">
        <w:rPr>
          <w:sz w:val="28"/>
        </w:rPr>
        <w:t xml:space="preserve"> que aparecen en este informe son pacientes de su cupo que, en los últimos tres meses, han retirado de la farmacia algún envase</w:t>
      </w:r>
      <w:r>
        <w:rPr>
          <w:sz w:val="28"/>
        </w:rPr>
        <w:t xml:space="preserve"> de </w:t>
      </w:r>
      <w:r w:rsidRPr="003561E7">
        <w:rPr>
          <w:sz w:val="28"/>
        </w:rPr>
        <w:t>medicamentos</w:t>
      </w:r>
      <w:r>
        <w:rPr>
          <w:sz w:val="28"/>
        </w:rPr>
        <w:t xml:space="preserve"> con</w:t>
      </w:r>
      <w:r w:rsidRPr="003561E7">
        <w:rPr>
          <w:sz w:val="28"/>
        </w:rPr>
        <w:t xml:space="preserve"> </w:t>
      </w:r>
      <w:proofErr w:type="spellStart"/>
      <w:r w:rsidRPr="003561E7">
        <w:rPr>
          <w:sz w:val="28"/>
        </w:rPr>
        <w:t>valsartán</w:t>
      </w:r>
      <w:proofErr w:type="spellEnd"/>
      <w:r w:rsidRPr="003561E7">
        <w:rPr>
          <w:sz w:val="28"/>
        </w:rPr>
        <w:t xml:space="preserve"> </w:t>
      </w:r>
      <w:r>
        <w:rPr>
          <w:sz w:val="28"/>
        </w:rPr>
        <w:t>en su composición</w:t>
      </w:r>
      <w:r w:rsidRPr="003561E7">
        <w:rPr>
          <w:sz w:val="28"/>
        </w:rPr>
        <w:t xml:space="preserve"> </w:t>
      </w:r>
      <w:r>
        <w:rPr>
          <w:sz w:val="28"/>
        </w:rPr>
        <w:t xml:space="preserve">en los que se han detectado impurezas. </w:t>
      </w:r>
    </w:p>
    <w:p w:rsidR="0011353A" w:rsidRPr="00344DE2" w:rsidRDefault="0011353A" w:rsidP="00C724C7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Los </w:t>
      </w:r>
      <w:r w:rsidRPr="00406EEF">
        <w:rPr>
          <w:b/>
          <w:sz w:val="28"/>
        </w:rPr>
        <w:t xml:space="preserve">pacientes </w:t>
      </w:r>
      <w:r w:rsidR="00B0100D">
        <w:rPr>
          <w:b/>
          <w:sz w:val="28"/>
        </w:rPr>
        <w:t xml:space="preserve">que </w:t>
      </w:r>
      <w:r>
        <w:rPr>
          <w:b/>
          <w:sz w:val="28"/>
        </w:rPr>
        <w:t xml:space="preserve">SÍ </w:t>
      </w:r>
      <w:r w:rsidRPr="00406EEF">
        <w:rPr>
          <w:b/>
          <w:sz w:val="28"/>
        </w:rPr>
        <w:t>e</w:t>
      </w:r>
      <w:r>
        <w:rPr>
          <w:b/>
          <w:sz w:val="28"/>
        </w:rPr>
        <w:t>stá</w:t>
      </w:r>
      <w:r w:rsidRPr="00406EEF">
        <w:rPr>
          <w:b/>
          <w:sz w:val="28"/>
        </w:rPr>
        <w:t xml:space="preserve">n </w:t>
      </w:r>
      <w:proofErr w:type="spellStart"/>
      <w:r w:rsidRPr="00406EEF">
        <w:rPr>
          <w:b/>
          <w:sz w:val="28"/>
        </w:rPr>
        <w:t>Recyl</w:t>
      </w:r>
      <w:proofErr w:type="spellEnd"/>
      <w:r>
        <w:rPr>
          <w:sz w:val="28"/>
        </w:rPr>
        <w:t xml:space="preserve"> </w:t>
      </w:r>
      <w:r w:rsidR="00B0100D">
        <w:rPr>
          <w:sz w:val="28"/>
        </w:rPr>
        <w:t xml:space="preserve">y tienen prescripciones DOE: </w:t>
      </w:r>
      <w:r>
        <w:rPr>
          <w:sz w:val="28"/>
        </w:rPr>
        <w:t>podrán acudir a la farmacia dónde se les dispensará un envase de un medicamento no afectado.</w:t>
      </w:r>
      <w:r w:rsidRPr="00406EEF">
        <w:t xml:space="preserve"> </w:t>
      </w:r>
      <w:r w:rsidRPr="00344DE2">
        <w:rPr>
          <w:sz w:val="28"/>
        </w:rPr>
        <w:t xml:space="preserve">Las prescripciones por marca </w:t>
      </w:r>
      <w:r w:rsidR="00B0100D">
        <w:rPr>
          <w:sz w:val="28"/>
        </w:rPr>
        <w:t xml:space="preserve">de medicamento afectado </w:t>
      </w:r>
      <w:r>
        <w:rPr>
          <w:sz w:val="28"/>
        </w:rPr>
        <w:t xml:space="preserve">(DOE no) se bloquearán y el médico tendrá que generar una nueva prescripción </w:t>
      </w:r>
      <w:r w:rsidR="00B0100D">
        <w:rPr>
          <w:sz w:val="28"/>
        </w:rPr>
        <w:t xml:space="preserve">por DOE o por marca no afectada.  </w:t>
      </w:r>
    </w:p>
    <w:p w:rsidR="0011353A" w:rsidRDefault="0011353A" w:rsidP="00B0100D">
      <w:pPr>
        <w:spacing w:after="120" w:line="240" w:lineRule="auto"/>
        <w:jc w:val="both"/>
        <w:rPr>
          <w:sz w:val="28"/>
        </w:rPr>
      </w:pPr>
      <w:r>
        <w:rPr>
          <w:sz w:val="28"/>
        </w:rPr>
        <w:t xml:space="preserve">Los </w:t>
      </w:r>
      <w:r w:rsidRPr="00406EEF">
        <w:rPr>
          <w:b/>
          <w:sz w:val="28"/>
        </w:rPr>
        <w:t xml:space="preserve">pacientes que </w:t>
      </w:r>
      <w:r>
        <w:rPr>
          <w:b/>
          <w:sz w:val="28"/>
        </w:rPr>
        <w:t>NO</w:t>
      </w:r>
      <w:r w:rsidRPr="00406EEF">
        <w:rPr>
          <w:b/>
          <w:sz w:val="28"/>
        </w:rPr>
        <w:t xml:space="preserve"> est</w:t>
      </w:r>
      <w:r>
        <w:rPr>
          <w:b/>
          <w:sz w:val="28"/>
        </w:rPr>
        <w:t>á</w:t>
      </w:r>
      <w:r w:rsidRPr="00406EEF">
        <w:rPr>
          <w:b/>
          <w:sz w:val="28"/>
        </w:rPr>
        <w:t xml:space="preserve">n en </w:t>
      </w:r>
      <w:proofErr w:type="spellStart"/>
      <w:r w:rsidRPr="00406EEF">
        <w:rPr>
          <w:b/>
          <w:sz w:val="28"/>
        </w:rPr>
        <w:t>Recyl</w:t>
      </w:r>
      <w:proofErr w:type="spellEnd"/>
      <w:r>
        <w:rPr>
          <w:sz w:val="28"/>
        </w:rPr>
        <w:t xml:space="preserve">, necesitarán una nueva receta en papel para la dispensación de un medicamento no afectado. </w:t>
      </w:r>
    </w:p>
    <w:p w:rsidR="0011353A" w:rsidRDefault="0011353A" w:rsidP="0011353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En el módulo de prescripción y en </w:t>
      </w:r>
      <w:proofErr w:type="spellStart"/>
      <w:r>
        <w:rPr>
          <w:sz w:val="28"/>
        </w:rPr>
        <w:t>Recyl</w:t>
      </w:r>
      <w:proofErr w:type="spellEnd"/>
      <w:r>
        <w:rPr>
          <w:sz w:val="28"/>
        </w:rPr>
        <w:t xml:space="preserve"> se han dado de baja los medicamentos afectados.</w:t>
      </w:r>
    </w:p>
    <w:bookmarkEnd w:id="0"/>
    <w:p w:rsidR="0011353A" w:rsidRDefault="0011353A"/>
    <w:sectPr w:rsidR="00113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1E"/>
    <w:rsid w:val="0011353A"/>
    <w:rsid w:val="00201971"/>
    <w:rsid w:val="009557FD"/>
    <w:rsid w:val="00AC531E"/>
    <w:rsid w:val="00B0100D"/>
    <w:rsid w:val="00C7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531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531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saludcastillayleon.es/portalmedicamento/es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SACyL</dc:creator>
  <cp:lastModifiedBy>Judit</cp:lastModifiedBy>
  <cp:revision>3</cp:revision>
  <dcterms:created xsi:type="dcterms:W3CDTF">2018-07-06T05:57:00Z</dcterms:created>
  <dcterms:modified xsi:type="dcterms:W3CDTF">2018-07-06T06:36:00Z</dcterms:modified>
</cp:coreProperties>
</file>