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6"/>
        <w:gridCol w:w="3699"/>
        <w:gridCol w:w="1980"/>
        <w:gridCol w:w="1335"/>
      </w:tblGrid>
      <w:tr w:rsidR="00A269CE" w:rsidRPr="005D7545" w:rsidTr="00C02470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69CE" w:rsidRPr="005D7545" w:rsidRDefault="00A269CE" w:rsidP="00C02470">
            <w:pPr>
              <w:rPr>
                <w:rFonts w:ascii="Georgia" w:hAnsi="Georgia" w:cs="Arial"/>
                <w:sz w:val="96"/>
                <w:szCs w:val="96"/>
              </w:rPr>
            </w:pPr>
            <w:r w:rsidRPr="005D7545">
              <w:rPr>
                <w:noProof/>
                <w:lang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1" o:spid="_x0000_i1025" type="#_x0000_t75" alt="Logos Junta b&amp;w inclinado" style="width:77.25pt;height:60pt;visibility:visible">
                  <v:imagedata r:id="rId5" o:title="" croptop="15290f" cropbottom="27085f" cropleft="13359f" cropright="7461f" chromakey="white"/>
                </v:shape>
              </w:pic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bottom"/>
          </w:tcPr>
          <w:p w:rsidR="00A269CE" w:rsidRPr="005D7545" w:rsidRDefault="00A269CE" w:rsidP="00C02470">
            <w:pPr>
              <w:rPr>
                <w:rFonts w:ascii="Georgia" w:hAnsi="Georgia" w:cs="Arial"/>
                <w:sz w:val="72"/>
                <w:szCs w:val="72"/>
              </w:rPr>
            </w:pPr>
            <w:r>
              <w:rPr>
                <w:rFonts w:ascii="Georgia" w:hAnsi="Georgia" w:cs="Arial"/>
                <w:sz w:val="72"/>
                <w:szCs w:val="72"/>
              </w:rPr>
              <w:t xml:space="preserve">Anexo </w:t>
            </w:r>
          </w:p>
        </w:tc>
      </w:tr>
      <w:tr w:rsidR="00A269CE" w:rsidRPr="005D7545" w:rsidTr="00C02470">
        <w:tc>
          <w:tcPr>
            <w:tcW w:w="1706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A269CE" w:rsidRPr="005D7545" w:rsidRDefault="00A269CE" w:rsidP="00C02470">
            <w:pPr>
              <w:jc w:val="center"/>
              <w:rPr>
                <w:rFonts w:ascii="Georgia" w:hAnsi="Georgia" w:cs="Arial"/>
                <w:sz w:val="32"/>
                <w:szCs w:val="32"/>
              </w:rPr>
            </w:pPr>
          </w:p>
        </w:tc>
        <w:tc>
          <w:tcPr>
            <w:tcW w:w="3699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943634"/>
            <w:vAlign w:val="center"/>
          </w:tcPr>
          <w:p w:rsidR="00A269CE" w:rsidRPr="005D7545" w:rsidRDefault="00A269CE" w:rsidP="00C02470">
            <w:pPr>
              <w:rPr>
                <w:rFonts w:ascii="Century Gothic" w:hAnsi="Century Gothic" w:cs="Arial"/>
                <w:b/>
                <w:color w:val="FFFFFF"/>
                <w:sz w:val="28"/>
                <w:szCs w:val="28"/>
              </w:rPr>
            </w:pPr>
            <w:r>
              <w:rPr>
                <w:rFonts w:ascii="Georgia" w:hAnsi="Georgia" w:cs="Arial"/>
                <w:color w:val="FFFFFF"/>
                <w:sz w:val="28"/>
                <w:szCs w:val="28"/>
              </w:rPr>
              <w:t>Consejería de Sanidad</w:t>
            </w:r>
          </w:p>
        </w:tc>
        <w:tc>
          <w:tcPr>
            <w:tcW w:w="198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A269CE" w:rsidRPr="005D7545" w:rsidRDefault="00A269CE" w:rsidP="00C02470">
            <w:pPr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Lunes, 29 de octubre de 2012</w:t>
            </w:r>
          </w:p>
        </w:tc>
        <w:tc>
          <w:tcPr>
            <w:tcW w:w="133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BFBFBF"/>
            <w:vAlign w:val="center"/>
          </w:tcPr>
          <w:p w:rsidR="00A269CE" w:rsidRPr="005D7545" w:rsidRDefault="00A269CE" w:rsidP="00C024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69CE" w:rsidRPr="005D7545" w:rsidRDefault="00A269CE" w:rsidP="00C024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269CE" w:rsidRDefault="00A269CE">
      <w:pPr>
        <w:pStyle w:val="ConsejeriaName"/>
        <w:jc w:val="left"/>
      </w:pPr>
      <w:r>
        <w:t>Consejería de Sanidad</w:t>
      </w:r>
    </w:p>
    <w:p w:rsidR="00A269CE" w:rsidRDefault="00A269CE">
      <w:pPr>
        <w:pStyle w:val="Headline"/>
      </w:pPr>
      <w:r>
        <w:t>Listado de las 55 medidas que pondrá en marcha la Consejería de Sanidad en 2013 para mejorar la sostenibilidad</w:t>
      </w:r>
    </w:p>
    <w:p w:rsidR="00A269CE" w:rsidRDefault="00A269CE" w:rsidP="00F615DE">
      <w:pPr>
        <w:numPr>
          <w:ilvl w:val="0"/>
          <w:numId w:val="1"/>
        </w:numPr>
        <w:divId w:val="1382289511"/>
      </w:pPr>
      <w:r>
        <w:t xml:space="preserve">Mantener todos los conceptos retributivos que dependan de las decisiones de </w:t>
      </w:r>
      <w:smartTag w:uri="urn:schemas-microsoft-com:office:smarttags" w:element="PersonName">
        <w:smartTagPr>
          <w:attr w:name="ProductID" w:val="la Administración Económica."/>
        </w:smartTagPr>
        <w:r>
          <w:t>la Administración Económica.</w:t>
        </w:r>
      </w:smartTag>
    </w:p>
    <w:p w:rsidR="00A269CE" w:rsidRDefault="00A269CE" w:rsidP="00F615DE">
      <w:pPr>
        <w:numPr>
          <w:ilvl w:val="0"/>
          <w:numId w:val="1"/>
        </w:numPr>
        <w:divId w:val="1382289511"/>
      </w:pPr>
      <w:r>
        <w:t>Plan de Ordenación de recursos humanos en atención primaria.</w:t>
      </w:r>
    </w:p>
    <w:p w:rsidR="00A269CE" w:rsidRDefault="00A269CE" w:rsidP="00F615DE">
      <w:pPr>
        <w:numPr>
          <w:ilvl w:val="0"/>
          <w:numId w:val="1"/>
        </w:numPr>
        <w:divId w:val="1382289511"/>
      </w:pPr>
      <w:r>
        <w:t>Plan de Ordenación de recursos en materia de prolongación en el servicio activo.</w:t>
      </w:r>
    </w:p>
    <w:p w:rsidR="00A269CE" w:rsidRDefault="00A269CE" w:rsidP="00F615DE">
      <w:pPr>
        <w:numPr>
          <w:ilvl w:val="0"/>
          <w:numId w:val="1"/>
        </w:numPr>
        <w:divId w:val="1382289511"/>
      </w:pPr>
      <w:r>
        <w:t>Desarrollo del procedimiento de integración del personal de cupo y de zona en el régimen estatutario.</w:t>
      </w:r>
    </w:p>
    <w:p w:rsidR="00A269CE" w:rsidRDefault="00A269CE" w:rsidP="00F615DE">
      <w:pPr>
        <w:numPr>
          <w:ilvl w:val="0"/>
          <w:numId w:val="1"/>
        </w:numPr>
        <w:divId w:val="1382289511"/>
      </w:pPr>
      <w:r>
        <w:t>Regulación de un procedimiento de creación, modificación o supresión de plantillas.</w:t>
      </w:r>
    </w:p>
    <w:p w:rsidR="00A269CE" w:rsidRDefault="00A269CE" w:rsidP="00F615DE">
      <w:pPr>
        <w:numPr>
          <w:ilvl w:val="0"/>
          <w:numId w:val="1"/>
        </w:numPr>
        <w:divId w:val="1382289511"/>
      </w:pPr>
      <w:r>
        <w:t>Regulación de las bases comunes sobre movilidad interna.</w:t>
      </w:r>
    </w:p>
    <w:p w:rsidR="00A269CE" w:rsidRDefault="00A269CE" w:rsidP="00F615DE">
      <w:pPr>
        <w:numPr>
          <w:ilvl w:val="0"/>
          <w:numId w:val="1"/>
        </w:numPr>
        <w:divId w:val="1382289511"/>
      </w:pPr>
      <w:r>
        <w:t>Desarrollo del programa de atención y protección al médico enfermo (PAIME).</w:t>
      </w:r>
    </w:p>
    <w:p w:rsidR="00A269CE" w:rsidRDefault="00A269CE" w:rsidP="00F615DE">
      <w:pPr>
        <w:numPr>
          <w:ilvl w:val="0"/>
          <w:numId w:val="1"/>
        </w:numPr>
        <w:divId w:val="1382289511"/>
      </w:pPr>
      <w:r>
        <w:t>Inicio del programa de atención a profesionales de enfermería con determinadas patologías (PAEE).</w:t>
      </w:r>
    </w:p>
    <w:p w:rsidR="00A269CE" w:rsidRDefault="00A269CE" w:rsidP="00F615DE">
      <w:pPr>
        <w:numPr>
          <w:ilvl w:val="0"/>
          <w:numId w:val="1"/>
        </w:numPr>
        <w:divId w:val="1382289511"/>
      </w:pPr>
      <w:r>
        <w:t>Aprobación del procedimiento de adaptación cambio de puesto y traslado por motivos de salud.</w:t>
      </w:r>
    </w:p>
    <w:p w:rsidR="00A269CE" w:rsidRDefault="00A269CE" w:rsidP="00F844F5">
      <w:pPr>
        <w:numPr>
          <w:ilvl w:val="0"/>
          <w:numId w:val="1"/>
        </w:numPr>
        <w:divId w:val="1382289511"/>
      </w:pPr>
      <w:r>
        <w:t xml:space="preserve">Aprobación de </w:t>
      </w:r>
      <w:smartTag w:uri="urn:schemas-microsoft-com:office:smarttags" w:element="PersonName">
        <w:smartTagPr>
          <w:attr w:name="ProductID" w:val="la Estrategia Integral"/>
        </w:smartTagPr>
        <w:r>
          <w:t>la Estrategia Integral</w:t>
        </w:r>
      </w:smartTag>
      <w:r>
        <w:t xml:space="preserve"> de formación con las Líneas Estratégicas de Formación 2013-2015.</w:t>
      </w:r>
    </w:p>
    <w:p w:rsidR="00A269CE" w:rsidRDefault="00A269CE" w:rsidP="00F844F5">
      <w:pPr>
        <w:numPr>
          <w:ilvl w:val="0"/>
          <w:numId w:val="1"/>
        </w:numPr>
        <w:divId w:val="1382289511"/>
      </w:pPr>
      <w:r w:rsidRPr="0030452C">
        <w:t>Reducción de costes de los contratos de limpieza, seguridad y mantenimiento en una media del 10%.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 xml:space="preserve">Desarrollo de </w:t>
      </w:r>
      <w:smartTag w:uri="urn:schemas-microsoft-com:office:smarttags" w:element="PersonName">
        <w:smartTagPr>
          <w:attr w:name="ProductID" w:val="la plataforma SATURNO."/>
        </w:smartTagPr>
        <w:r>
          <w:t>la plataforma SATURNO.</w:t>
        </w:r>
      </w:smartTag>
    </w:p>
    <w:p w:rsidR="00A269CE" w:rsidRDefault="00A269CE" w:rsidP="0030452C">
      <w:pPr>
        <w:numPr>
          <w:ilvl w:val="0"/>
          <w:numId w:val="1"/>
        </w:numPr>
        <w:divId w:val="1382289511"/>
      </w:pPr>
      <w:r>
        <w:t>Fomento de la compra agregada, sobre todo para la adquisición de prótesis vasculares y cardiacas, prótesis traumatológicas, fungibles para la realización de tratamiento sustitutivo renal…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Acuerdos Marco para el suministro de medicamentos.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Adhesión a la plataforma de Central de Compras del Sistema Nacional de Salud.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Licitación de contratos de servicios energéticos para los centros sanitarios.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Incorporación de cláusulas sociales en la contratación.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Licitación de forma centralizada de absorbentes para incontinentes que residen en sus domicilios.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Concesión de las ayudas por desplazamiento, manutención y alojamiento para los usuarios de la Sanidad de Castilla y León que se desplacen con fines asistenciales.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Disminución de las transferencias a fundaciones públicas adscritas a la Consejería.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Construcción del nuevo centro de salud de Babia San Emiliano (León).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Finalización del centro de salud de Lerma (Burgos).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Continuidad de las obras del Hospital Clínico de Salamanca, Hospital Clínico de Valladolid y Hospital Provincial de Zamora.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Finalización de las obras de ampliación y reforma del Hospital de Benavente y del Hospital de Miranda de Ebro.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Licitación del proyecto de ejecución del nuevo Hospital de Palencia.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Realización de obras complementarias en el Complejo Asistencial de Soria.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Equipamiento destinado a atención especializada del nuevo Centro de Astorga.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Angiógrafo para el Hospital Clínico de Valladolid.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Reducción en un 20% de las unidades de los servicios centrales con rango de servicio.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Desaparición de las gerencias de salud de área.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Integración de las gerencias de atención primaria y especializada en un único centro de gestión.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Despliegue de las demarcaciones de salud pública.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Revisión de las tasas sanitarias de salud pública.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Normalización del procedimiento sancionador.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Plan de calidad y seguridad del paciente.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Estrategia de atención a pacientes crónicos.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Puesta en marcha y seguimiento de las unidades de continuidad asistencial hospitalarias en las áreas de salud.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Sistema de estratificación y clasificación de pacientes.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Programa de formación y apoyo a los pacientes, familiares y cuidadores de pacientes crónicos dependientes.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Decreto para regular el marco de desarrollo de la gestión clínica.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Convocatoria para la designación de unidades o áreas de gestión clínica.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Creación de un centro autonómico de lectura radiológica.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Programa de atención farmacéutica en residencias a centros de atención de personas con discapacidad.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Apertura del Hospital de día psiquiátrico en el área de Valladolid Oeste.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Implantación de nuevas guías electrónicas compartidas entre primaria y especializada.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Proyectos de interconexión de determinados servicios y/o funcionalidades denominados “anillos”.</w:t>
      </w:r>
    </w:p>
    <w:p w:rsidR="00A269CE" w:rsidRDefault="00A269CE" w:rsidP="0030452C">
      <w:pPr>
        <w:numPr>
          <w:ilvl w:val="0"/>
          <w:numId w:val="1"/>
        </w:numPr>
        <w:divId w:val="1382289511"/>
      </w:pPr>
      <w:r>
        <w:t>Anillo de cuidados intensivos.</w:t>
      </w:r>
    </w:p>
    <w:p w:rsidR="00A269CE" w:rsidRDefault="00A269CE" w:rsidP="00F844F5">
      <w:pPr>
        <w:numPr>
          <w:ilvl w:val="0"/>
          <w:numId w:val="1"/>
        </w:numPr>
        <w:divId w:val="1382289511"/>
      </w:pPr>
      <w:r>
        <w:t>Anillo radiológico.</w:t>
      </w:r>
    </w:p>
    <w:p w:rsidR="00A269CE" w:rsidRDefault="00A269CE" w:rsidP="00F844F5">
      <w:pPr>
        <w:numPr>
          <w:ilvl w:val="0"/>
          <w:numId w:val="1"/>
        </w:numPr>
        <w:divId w:val="1382289511"/>
      </w:pPr>
      <w:r>
        <w:t>Anillo de terapia transfusional.</w:t>
      </w:r>
    </w:p>
    <w:p w:rsidR="00A269CE" w:rsidRDefault="00A269CE" w:rsidP="00F844F5">
      <w:pPr>
        <w:numPr>
          <w:ilvl w:val="0"/>
          <w:numId w:val="1"/>
        </w:numPr>
        <w:divId w:val="1382289511"/>
      </w:pPr>
      <w:r>
        <w:t>Programa de atención a demandas urgentes pediátricas mediante sistemas de teleasistencia.</w:t>
      </w:r>
    </w:p>
    <w:p w:rsidR="00A269CE" w:rsidRDefault="00A269CE" w:rsidP="00F844F5">
      <w:pPr>
        <w:numPr>
          <w:ilvl w:val="0"/>
          <w:numId w:val="1"/>
        </w:numPr>
        <w:divId w:val="1382289511"/>
      </w:pPr>
      <w:r>
        <w:t>Bases y criterios para la consulta no presencial.</w:t>
      </w:r>
    </w:p>
    <w:p w:rsidR="00A269CE" w:rsidRDefault="00A269CE" w:rsidP="00F844F5">
      <w:pPr>
        <w:numPr>
          <w:ilvl w:val="0"/>
          <w:numId w:val="1"/>
        </w:numPr>
        <w:divId w:val="1382289511"/>
      </w:pPr>
      <w:r>
        <w:t>Acreditación del Instituto de Investigación Biomédica de Salamanca (IBSAL).</w:t>
      </w:r>
    </w:p>
    <w:p w:rsidR="00A269CE" w:rsidRDefault="00A269CE" w:rsidP="00F844F5">
      <w:pPr>
        <w:numPr>
          <w:ilvl w:val="0"/>
          <w:numId w:val="1"/>
        </w:numPr>
        <w:divId w:val="1382289511"/>
      </w:pPr>
      <w:r>
        <w:t>Creación de una estructura de carácter autonómico que dé soporte a los ensayos clínicos y al desarrollo de los biobancos.</w:t>
      </w:r>
    </w:p>
    <w:p w:rsidR="00A269CE" w:rsidRDefault="00A269CE" w:rsidP="00F844F5">
      <w:pPr>
        <w:numPr>
          <w:ilvl w:val="0"/>
          <w:numId w:val="1"/>
        </w:numPr>
        <w:divId w:val="1382289511"/>
      </w:pPr>
      <w:r>
        <w:t>Implantación de la prescripción electrónica en todos los hospitales.</w:t>
      </w:r>
    </w:p>
    <w:p w:rsidR="00A269CE" w:rsidRPr="0030452C" w:rsidRDefault="00A269CE" w:rsidP="00F844F5">
      <w:pPr>
        <w:numPr>
          <w:ilvl w:val="0"/>
          <w:numId w:val="1"/>
        </w:numPr>
        <w:divId w:val="1382289511"/>
      </w:pPr>
      <w:r>
        <w:t>Visado electrónico.</w:t>
      </w:r>
    </w:p>
    <w:sectPr w:rsidR="00A269CE" w:rsidRPr="0030452C" w:rsidSect="00702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132B"/>
    <w:multiLevelType w:val="hybridMultilevel"/>
    <w:tmpl w:val="A25088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C15"/>
    <w:rsid w:val="0030452C"/>
    <w:rsid w:val="0039241C"/>
    <w:rsid w:val="004879B6"/>
    <w:rsid w:val="005D7545"/>
    <w:rsid w:val="00667C15"/>
    <w:rsid w:val="006902A4"/>
    <w:rsid w:val="0070271D"/>
    <w:rsid w:val="00745526"/>
    <w:rsid w:val="00910113"/>
    <w:rsid w:val="00A269CE"/>
    <w:rsid w:val="00C02470"/>
    <w:rsid w:val="00D45C1F"/>
    <w:rsid w:val="00DD0261"/>
    <w:rsid w:val="00F10101"/>
    <w:rsid w:val="00F615DE"/>
    <w:rsid w:val="00F8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  <w:contextualSpacing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ilo1">
    <w:name w:val="Estilo1"/>
    <w:basedOn w:val="Normal"/>
    <w:uiPriority w:val="99"/>
  </w:style>
  <w:style w:type="paragraph" w:customStyle="1" w:styleId="ConsejeriaName">
    <w:name w:val="ConsejeriaName"/>
    <w:basedOn w:val="Normal"/>
    <w:uiPriority w:val="99"/>
    <w:pPr>
      <w:pBdr>
        <w:bottom w:val="single" w:sz="6" w:space="1" w:color="595959"/>
      </w:pBdr>
      <w:jc w:val="both"/>
    </w:pPr>
    <w:rPr>
      <w:color w:val="7F7F7F"/>
      <w:sz w:val="16"/>
      <w:u w:color="595959"/>
    </w:rPr>
  </w:style>
  <w:style w:type="paragraph" w:customStyle="1" w:styleId="Headline">
    <w:name w:val="Headline"/>
    <w:basedOn w:val="Normal"/>
    <w:uiPriority w:val="99"/>
    <w:pPr>
      <w:jc w:val="both"/>
    </w:pPr>
    <w:rPr>
      <w:rFonts w:ascii="Georgia" w:hAnsi="Georgia"/>
      <w:color w:val="993300"/>
      <w:sz w:val="32"/>
    </w:rPr>
  </w:style>
  <w:style w:type="paragraph" w:customStyle="1" w:styleId="SubHeadline">
    <w:name w:val="SubHeadline"/>
    <w:basedOn w:val="Headline"/>
    <w:uiPriority w:val="99"/>
    <w:rPr>
      <w:rFonts w:ascii="Arial" w:hAnsi="Arial"/>
      <w:b/>
      <w:color w:val="000000"/>
      <w:sz w:val="22"/>
    </w:rPr>
  </w:style>
  <w:style w:type="paragraph" w:customStyle="1" w:styleId="Body">
    <w:name w:val="Body"/>
    <w:basedOn w:val="SubHeadline"/>
    <w:uiPriority w:val="99"/>
    <w:pPr>
      <w:spacing w:line="276" w:lineRule="auto"/>
      <w:contextualSpacing w:val="0"/>
    </w:pPr>
    <w:rPr>
      <w:b w:val="0"/>
    </w:rPr>
  </w:style>
  <w:style w:type="paragraph" w:customStyle="1" w:styleId="SupHeadline">
    <w:name w:val="SupHeadline"/>
    <w:basedOn w:val="Body"/>
    <w:uiPriority w:val="99"/>
    <w:rPr>
      <w:b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8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679</Words>
  <Characters>3740</Characters>
  <Application>Microsoft Office Outlook</Application>
  <DocSecurity>0</DocSecurity>
  <Lines>0</Lines>
  <Paragraphs>0</Paragraphs>
  <ScaleCrop>false</ScaleCrop>
  <Company>Junta de Castilla y Leon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saribabl</cp:lastModifiedBy>
  <cp:revision>8</cp:revision>
  <dcterms:created xsi:type="dcterms:W3CDTF">2012-10-28T19:43:00Z</dcterms:created>
  <dcterms:modified xsi:type="dcterms:W3CDTF">2012-10-28T20:01:00Z</dcterms:modified>
</cp:coreProperties>
</file>