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AAB85" w14:textId="77777777" w:rsidR="0091422B" w:rsidRPr="00CA66C4" w:rsidRDefault="0091422B" w:rsidP="00CA66C4">
      <w:pPr>
        <w:pStyle w:val="Sangradetextonormal"/>
        <w:spacing w:before="120"/>
        <w:ind w:left="0"/>
        <w:jc w:val="center"/>
        <w:rPr>
          <w:rFonts w:asciiTheme="minorHAnsi" w:hAnsiTheme="minorHAnsi" w:cs="Tahoma"/>
          <w:b/>
        </w:rPr>
      </w:pPr>
      <w:r w:rsidRPr="00CA66C4">
        <w:rPr>
          <w:rFonts w:asciiTheme="minorHAnsi" w:hAnsiTheme="minorHAnsi" w:cs="Tahoma"/>
          <w:b/>
        </w:rPr>
        <w:t>PROPUESTA DE PROYECTO DOCENTE</w:t>
      </w:r>
    </w:p>
    <w:p w14:paraId="6252E1C2" w14:textId="77777777" w:rsidR="0091422B" w:rsidRPr="002B5144" w:rsidRDefault="0091422B" w:rsidP="00CA66C4">
      <w:pPr>
        <w:spacing w:before="120" w:after="120"/>
        <w:rPr>
          <w:rFonts w:asciiTheme="minorHAnsi" w:hAnsiTheme="minorHAnsi" w:cs="Tahoma"/>
          <w:sz w:val="18"/>
          <w:szCs w:val="18"/>
        </w:rPr>
      </w:pPr>
    </w:p>
    <w:p w14:paraId="789ECB26" w14:textId="77777777" w:rsidR="0091422B" w:rsidRPr="00CA66C4" w:rsidRDefault="0091422B" w:rsidP="00CA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 xml:space="preserve">PRESENTADO POR: </w:t>
      </w:r>
    </w:p>
    <w:p w14:paraId="7EE470C7" w14:textId="77777777" w:rsidR="0091422B" w:rsidRPr="00CA66C4" w:rsidRDefault="0091422B" w:rsidP="00CA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inorHAnsi" w:hAnsiTheme="minorHAnsi" w:cs="Tahoma"/>
        </w:rPr>
      </w:pPr>
    </w:p>
    <w:p w14:paraId="1CC78BCA" w14:textId="77777777" w:rsidR="0091422B" w:rsidRPr="00CA66C4" w:rsidRDefault="0091422B" w:rsidP="00CA66C4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="Tahoma"/>
          <w:color w:val="000000"/>
        </w:rPr>
      </w:pPr>
      <w:r w:rsidRPr="00CA66C4">
        <w:rPr>
          <w:rFonts w:asciiTheme="minorHAnsi" w:hAnsiTheme="minorHAnsi" w:cs="Tahoma"/>
          <w:color w:val="000000"/>
        </w:rPr>
        <w:t>ESPECIALISTA EN:</w:t>
      </w:r>
    </w:p>
    <w:p w14:paraId="2E4A83D9" w14:textId="77777777" w:rsidR="0091422B" w:rsidRPr="00CA66C4" w:rsidRDefault="0091422B" w:rsidP="00CA66C4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="Tahoma"/>
          <w:color w:val="000000"/>
        </w:rPr>
      </w:pPr>
    </w:p>
    <w:p w14:paraId="46CDFB50" w14:textId="3E34E081" w:rsidR="00CA66C4" w:rsidRDefault="0091422B" w:rsidP="00CA66C4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="Tahoma"/>
          <w:color w:val="000000"/>
        </w:rPr>
      </w:pPr>
      <w:r w:rsidRPr="00CA66C4">
        <w:rPr>
          <w:rFonts w:asciiTheme="minorHAnsi" w:hAnsiTheme="minorHAnsi" w:cs="Tahoma"/>
          <w:color w:val="000000"/>
        </w:rPr>
        <w:t>LUGAR DE TRABAJO</w:t>
      </w:r>
      <w:r w:rsidR="00CA66C4">
        <w:rPr>
          <w:rFonts w:asciiTheme="minorHAnsi" w:hAnsiTheme="minorHAnsi" w:cs="Tahoma"/>
          <w:color w:val="000000"/>
        </w:rPr>
        <w:t>:</w:t>
      </w:r>
    </w:p>
    <w:p w14:paraId="79D48595" w14:textId="536DA5D7" w:rsidR="00CA66C4" w:rsidRPr="00CA66C4" w:rsidRDefault="0091422B" w:rsidP="00CA66C4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CA66C4">
        <w:rPr>
          <w:rFonts w:asciiTheme="minorHAnsi" w:hAnsiTheme="minorHAnsi" w:cs="Tahoma"/>
          <w:color w:val="000000"/>
          <w:sz w:val="18"/>
          <w:szCs w:val="18"/>
        </w:rPr>
        <w:t>(Gerencia y Servicio/Equipo de Atención Primaria)</w:t>
      </w:r>
    </w:p>
    <w:p w14:paraId="0F632838" w14:textId="77777777" w:rsidR="0091422B" w:rsidRPr="00CA66C4" w:rsidRDefault="0091422B" w:rsidP="00CA66C4">
      <w:pPr>
        <w:spacing w:before="120" w:after="120"/>
        <w:rPr>
          <w:rFonts w:asciiTheme="minorHAnsi" w:hAnsiTheme="minorHAnsi" w:cs="Tahoma"/>
        </w:rPr>
      </w:pPr>
    </w:p>
    <w:p w14:paraId="380BE5A6" w14:textId="40DC5F64" w:rsidR="0091422B" w:rsidRPr="00CA66C4" w:rsidRDefault="0091422B" w:rsidP="00CA66C4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  <w:b/>
          <w:color w:val="000000"/>
        </w:rPr>
        <w:t>A. OBJETIVOS</w:t>
      </w:r>
      <w:r w:rsidRPr="00CA66C4">
        <w:rPr>
          <w:rFonts w:asciiTheme="minorHAnsi" w:hAnsiTheme="minorHAnsi" w:cs="Tahoma"/>
          <w:color w:val="000000"/>
        </w:rPr>
        <w:t>.</w:t>
      </w:r>
    </w:p>
    <w:p w14:paraId="5807857A" w14:textId="77777777" w:rsidR="00CA66C4" w:rsidRDefault="00CA66C4" w:rsidP="00CA66C4">
      <w:pPr>
        <w:spacing w:before="120" w:after="120"/>
        <w:jc w:val="both"/>
        <w:rPr>
          <w:rFonts w:asciiTheme="minorHAnsi" w:hAnsiTheme="minorHAnsi" w:cs="Tahoma"/>
          <w:b/>
        </w:rPr>
      </w:pPr>
    </w:p>
    <w:p w14:paraId="31F3A858" w14:textId="6A0835DE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  <w:b/>
        </w:rPr>
      </w:pPr>
      <w:r w:rsidRPr="00CA66C4">
        <w:rPr>
          <w:rFonts w:asciiTheme="minorHAnsi" w:hAnsiTheme="minorHAnsi" w:cs="Tahoma"/>
          <w:b/>
        </w:rPr>
        <w:t>1. OBJETIVOS DE LA ESPECIALIDAD:</w:t>
      </w:r>
    </w:p>
    <w:p w14:paraId="7E1563D1" w14:textId="77777777" w:rsidR="00CA66C4" w:rsidRDefault="00CA66C4" w:rsidP="00CA66C4">
      <w:pPr>
        <w:spacing w:before="120" w:after="120"/>
        <w:jc w:val="both"/>
        <w:rPr>
          <w:rFonts w:asciiTheme="minorHAnsi" w:hAnsiTheme="minorHAnsi" w:cs="Tahoma"/>
          <w:u w:val="single"/>
        </w:rPr>
      </w:pPr>
    </w:p>
    <w:p w14:paraId="7A5D38D3" w14:textId="1B8951D7" w:rsid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  <w:u w:val="single"/>
        </w:rPr>
        <w:t>1.1. Área clínico-asistencial</w:t>
      </w:r>
      <w:r w:rsidRPr="00CA66C4">
        <w:rPr>
          <w:rFonts w:asciiTheme="minorHAnsi" w:hAnsiTheme="minorHAnsi" w:cs="Tahoma"/>
        </w:rPr>
        <w:t>.</w:t>
      </w:r>
    </w:p>
    <w:p w14:paraId="01C43000" w14:textId="02F1DCA9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Se incluirá el itinerario formativo de la especialidad y aquellos aspectos que sean necesarios tener en cuenta para elaborar el plan individual de formación del residente.</w:t>
      </w:r>
    </w:p>
    <w:p w14:paraId="346A2676" w14:textId="77777777" w:rsidR="00CA66C4" w:rsidRDefault="00CA66C4" w:rsidP="00CA66C4">
      <w:pPr>
        <w:spacing w:before="120" w:after="120"/>
        <w:jc w:val="both"/>
        <w:rPr>
          <w:rFonts w:asciiTheme="minorHAnsi" w:hAnsiTheme="minorHAnsi" w:cs="Tahoma"/>
          <w:u w:val="single"/>
        </w:rPr>
      </w:pPr>
    </w:p>
    <w:p w14:paraId="5D547F25" w14:textId="15A34A68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  <w:u w:val="single"/>
        </w:rPr>
        <w:t>1.2. Área docente</w:t>
      </w:r>
      <w:r w:rsidRPr="00CA66C4">
        <w:rPr>
          <w:rFonts w:asciiTheme="minorHAnsi" w:hAnsiTheme="minorHAnsi" w:cs="Tahoma"/>
        </w:rPr>
        <w:t>.</w:t>
      </w:r>
    </w:p>
    <w:p w14:paraId="1A42F144" w14:textId="22592DFD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Para fomentar la actividad docente del residente, se fijará como objetivo a conseguir por el especialista en formación, la impartición de al menos 4 sesiones formativas (clínicas, bibliográficas) por año, con las adaptaciones necesarias según su calendario de rotaciones.</w:t>
      </w:r>
    </w:p>
    <w:p w14:paraId="5DC3C4B1" w14:textId="77777777" w:rsidR="00CA66C4" w:rsidRDefault="00CA66C4" w:rsidP="00CA66C4">
      <w:pPr>
        <w:spacing w:before="120" w:after="120"/>
        <w:jc w:val="both"/>
        <w:rPr>
          <w:rFonts w:asciiTheme="minorHAnsi" w:hAnsiTheme="minorHAnsi" w:cs="Tahoma"/>
          <w:u w:val="single"/>
        </w:rPr>
      </w:pPr>
    </w:p>
    <w:p w14:paraId="31A4A44A" w14:textId="67525CEC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  <w:u w:val="single"/>
        </w:rPr>
        <w:t>1.3. Área investigadora</w:t>
      </w:r>
      <w:r w:rsidRPr="00CA66C4">
        <w:rPr>
          <w:rFonts w:asciiTheme="minorHAnsi" w:hAnsiTheme="minorHAnsi" w:cs="Tahoma"/>
        </w:rPr>
        <w:t>.</w:t>
      </w:r>
    </w:p>
    <w:p w14:paraId="62553014" w14:textId="617180FB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El profesional reflejará las medidas a adoptar para fomentar la actividad investigadora del residente para que al final del periodo de residencia haya realizado al menos una comunicación y una publicación. Igualmente, se proporcionará al residente la información necesaria que facilite su incorporación a líneas y/o grupos de investigación del centro o el área.</w:t>
      </w:r>
    </w:p>
    <w:p w14:paraId="337355F7" w14:textId="77777777" w:rsidR="00CA66C4" w:rsidRDefault="00CA66C4" w:rsidP="00CA66C4">
      <w:pPr>
        <w:spacing w:before="120" w:after="120"/>
        <w:jc w:val="both"/>
        <w:rPr>
          <w:rFonts w:asciiTheme="minorHAnsi" w:hAnsiTheme="minorHAnsi" w:cs="Tahoma"/>
          <w:u w:val="single"/>
        </w:rPr>
      </w:pPr>
    </w:p>
    <w:p w14:paraId="34F0B03F" w14:textId="3A5D96EA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  <w:u w:val="single"/>
        </w:rPr>
        <w:t>1.4. Área de gestión</w:t>
      </w:r>
      <w:r w:rsidRPr="00CA66C4">
        <w:rPr>
          <w:rFonts w:asciiTheme="minorHAnsi" w:hAnsiTheme="minorHAnsi" w:cs="Tahoma"/>
        </w:rPr>
        <w:t>.</w:t>
      </w:r>
    </w:p>
    <w:p w14:paraId="5341CD96" w14:textId="485CAAD5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Para fomentar la competencia de gestión del residente, el profesional reflejará la información que es necesario transmitir al residente para que al final de la residencia haya participado en:</w:t>
      </w:r>
    </w:p>
    <w:p w14:paraId="1E78E3AA" w14:textId="77777777" w:rsidR="0091422B" w:rsidRPr="00CA66C4" w:rsidRDefault="0091422B" w:rsidP="00CA66C4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Actividades relacionadas con la gestión de la calidad, ciclos de mejora, gestión de procesos.</w:t>
      </w:r>
    </w:p>
    <w:p w14:paraId="1EC2A104" w14:textId="77777777" w:rsidR="0091422B" w:rsidRPr="00CA66C4" w:rsidRDefault="0091422B" w:rsidP="00CA66C4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lastRenderedPageBreak/>
        <w:t>Conocimiento y manejo del sistema informático de historia clínica.</w:t>
      </w:r>
    </w:p>
    <w:p w14:paraId="5ED802AF" w14:textId="77777777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</w:p>
    <w:p w14:paraId="35CC5AD1" w14:textId="261293CF" w:rsidR="0091422B" w:rsidRDefault="0091422B" w:rsidP="00CA66C4">
      <w:pPr>
        <w:spacing w:before="120" w:after="120"/>
        <w:jc w:val="both"/>
        <w:rPr>
          <w:rFonts w:asciiTheme="minorHAnsi" w:hAnsiTheme="minorHAnsi" w:cs="Tahoma"/>
          <w:b/>
        </w:rPr>
      </w:pPr>
      <w:r w:rsidRPr="00CA66C4">
        <w:rPr>
          <w:rFonts w:asciiTheme="minorHAnsi" w:hAnsiTheme="minorHAnsi" w:cs="Tahoma"/>
          <w:b/>
        </w:rPr>
        <w:t>2. OBJETIVOS DE MEJORA DE LA CALIDAD DE LA UNIDAD DOCENTE:</w:t>
      </w:r>
    </w:p>
    <w:p w14:paraId="11910DEA" w14:textId="77777777" w:rsidR="00CA66C4" w:rsidRPr="00CA66C4" w:rsidRDefault="00CA66C4" w:rsidP="00CA66C4">
      <w:pPr>
        <w:spacing w:before="120" w:after="120"/>
        <w:jc w:val="both"/>
        <w:rPr>
          <w:rFonts w:asciiTheme="minorHAnsi" w:hAnsiTheme="minorHAnsi" w:cs="Tahoma"/>
          <w:b/>
        </w:rPr>
      </w:pPr>
    </w:p>
    <w:p w14:paraId="48F58B77" w14:textId="6AB5BF17" w:rsidR="0091422B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El profesional reflejará su participación en el cumplimiento de las funciones de tutor en relación con la unidad docente, destacando las siguientes actuaciones:</w:t>
      </w:r>
    </w:p>
    <w:p w14:paraId="5913DCBD" w14:textId="77777777" w:rsidR="00CA66C4" w:rsidRPr="00CA66C4" w:rsidRDefault="00CA66C4" w:rsidP="00CA66C4">
      <w:pPr>
        <w:spacing w:before="120" w:after="120"/>
        <w:jc w:val="both"/>
        <w:rPr>
          <w:rFonts w:asciiTheme="minorHAnsi" w:hAnsiTheme="minorHAnsi" w:cs="Tahoma"/>
        </w:rPr>
      </w:pPr>
    </w:p>
    <w:p w14:paraId="0EF41ECA" w14:textId="77777777" w:rsidR="0091422B" w:rsidRPr="00CA66C4" w:rsidRDefault="0091422B" w:rsidP="00CA66C4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Propuesta o en su caso actualización del itinerario formativo tipo de la especialidad.</w:t>
      </w:r>
    </w:p>
    <w:p w14:paraId="464DD498" w14:textId="77777777" w:rsidR="0091422B" w:rsidRPr="00CA66C4" w:rsidRDefault="0091422B" w:rsidP="00CA66C4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Colaboración en el seguimiento del Plan de Gestión de Calidad Docente.</w:t>
      </w:r>
    </w:p>
    <w:p w14:paraId="32E1A150" w14:textId="77777777" w:rsidR="0091422B" w:rsidRPr="00CA66C4" w:rsidRDefault="0091422B" w:rsidP="00CA66C4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Colaboración en la elaboración de la memoria de la unidad docente.</w:t>
      </w:r>
    </w:p>
    <w:p w14:paraId="08B1B693" w14:textId="07790816" w:rsidR="0091422B" w:rsidRDefault="0091422B" w:rsidP="00CA66C4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Propuesta de actividades de mejora de la calidad docente y participación en su desarrollo.</w:t>
      </w:r>
    </w:p>
    <w:p w14:paraId="7F19CAE3" w14:textId="77777777" w:rsidR="00CA66C4" w:rsidRPr="00CA66C4" w:rsidRDefault="00CA66C4" w:rsidP="00CA66C4">
      <w:pPr>
        <w:spacing w:before="120" w:after="120"/>
        <w:ind w:left="720"/>
        <w:jc w:val="both"/>
        <w:rPr>
          <w:rFonts w:asciiTheme="minorHAnsi" w:hAnsiTheme="minorHAnsi" w:cs="Tahoma"/>
        </w:rPr>
      </w:pPr>
    </w:p>
    <w:p w14:paraId="24B5CEFD" w14:textId="77777777" w:rsidR="0091422B" w:rsidRPr="00CA66C4" w:rsidRDefault="0091422B" w:rsidP="00CA66C4">
      <w:pPr>
        <w:pStyle w:val="Pa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="Tahoma"/>
          <w:b/>
          <w:color w:val="000000"/>
        </w:rPr>
      </w:pPr>
      <w:r w:rsidRPr="00CA66C4">
        <w:rPr>
          <w:rFonts w:asciiTheme="minorHAnsi" w:hAnsiTheme="minorHAnsi" w:cs="Tahoma"/>
          <w:b/>
          <w:color w:val="000000"/>
        </w:rPr>
        <w:t>B. ACTIVIDADES DE SEGUIMIENTO DE LA FORMACIÓN.</w:t>
      </w:r>
    </w:p>
    <w:p w14:paraId="6DD2927B" w14:textId="77777777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</w:p>
    <w:p w14:paraId="424A58F7" w14:textId="1D088A25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 xml:space="preserve">El profesional reflejará las actuaciones que considera necesarias para realizar un óptimo seguimiento del aprendizaje del </w:t>
      </w:r>
      <w:r w:rsidR="00815256" w:rsidRPr="00CA66C4">
        <w:rPr>
          <w:rFonts w:asciiTheme="minorHAnsi" w:hAnsiTheme="minorHAnsi" w:cs="Tahoma"/>
        </w:rPr>
        <w:t>residente,</w:t>
      </w:r>
      <w:r w:rsidRPr="00CA66C4">
        <w:rPr>
          <w:rFonts w:asciiTheme="minorHAnsi" w:hAnsiTheme="minorHAnsi" w:cs="Tahoma"/>
        </w:rPr>
        <w:t xml:space="preserve"> así como para comprobar el cumplimiento del programa de la especialidad, destacando las siguientes actuaciones:</w:t>
      </w:r>
    </w:p>
    <w:p w14:paraId="3943E54E" w14:textId="77777777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</w:p>
    <w:p w14:paraId="7CC0B88D" w14:textId="77777777" w:rsidR="0091422B" w:rsidRPr="00CA66C4" w:rsidRDefault="0091422B" w:rsidP="00CA66C4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 xml:space="preserve">Seguimiento periódico, continuado y estructurado con el residente, detallando la previsión de realizar entrevistas tutor-residente (al menos 4 al año) y la supervisión del libro del residente. </w:t>
      </w:r>
    </w:p>
    <w:p w14:paraId="0874E38D" w14:textId="77777777" w:rsidR="0091422B" w:rsidRPr="00CA66C4" w:rsidRDefault="0091422B" w:rsidP="00CA66C4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Valoración y seguimiento de la asunción progresiva de responsabilidades por el residente.</w:t>
      </w:r>
    </w:p>
    <w:p w14:paraId="074A421D" w14:textId="77777777" w:rsidR="0091422B" w:rsidRPr="00CA66C4" w:rsidRDefault="0091422B" w:rsidP="00CA66C4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Seguimiento del itinerario formativo del residente y propuesta de rotaciones del programa o complementarias, según precise.</w:t>
      </w:r>
    </w:p>
    <w:p w14:paraId="46D6F441" w14:textId="77777777" w:rsidR="0091422B" w:rsidRPr="00CA66C4" w:rsidRDefault="0091422B" w:rsidP="00CA66C4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Seguimiento de la actividad docente e investigadora del residente.</w:t>
      </w:r>
    </w:p>
    <w:p w14:paraId="3F65316A" w14:textId="77777777" w:rsidR="0091422B" w:rsidRPr="00CA66C4" w:rsidRDefault="0091422B" w:rsidP="00CA66C4">
      <w:pPr>
        <w:numPr>
          <w:ilvl w:val="0"/>
          <w:numId w:val="4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Planteamiento de acciones de mejora y/o recuperación sobre el plan individual de formación del residente.</w:t>
      </w:r>
    </w:p>
    <w:p w14:paraId="3FE5719A" w14:textId="77777777" w:rsidR="0091422B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</w:p>
    <w:p w14:paraId="265B97BD" w14:textId="77777777" w:rsidR="00CA66C4" w:rsidRPr="00CA66C4" w:rsidRDefault="00CA66C4" w:rsidP="00CA66C4">
      <w:pPr>
        <w:spacing w:before="120" w:after="120"/>
        <w:jc w:val="both"/>
        <w:rPr>
          <w:rFonts w:asciiTheme="minorHAnsi" w:hAnsiTheme="minorHAnsi" w:cs="Tahoma"/>
        </w:rPr>
      </w:pPr>
    </w:p>
    <w:p w14:paraId="604409B2" w14:textId="77777777" w:rsidR="0091422B" w:rsidRPr="00CA66C4" w:rsidRDefault="0091422B" w:rsidP="00CA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inorHAnsi" w:hAnsiTheme="minorHAnsi" w:cs="Tahoma"/>
          <w:b/>
          <w:color w:val="000000"/>
        </w:rPr>
      </w:pPr>
      <w:r w:rsidRPr="00CA66C4">
        <w:rPr>
          <w:rFonts w:asciiTheme="minorHAnsi" w:hAnsiTheme="minorHAnsi" w:cs="Tahoma"/>
          <w:b/>
          <w:color w:val="000000"/>
        </w:rPr>
        <w:t>C. EVALUACIÓN</w:t>
      </w:r>
    </w:p>
    <w:p w14:paraId="2D34C8F5" w14:textId="77777777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</w:p>
    <w:p w14:paraId="5D0E29EE" w14:textId="77777777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El profesional reflejará su participación como tutor en el proceso de evaluación del residente a través de:</w:t>
      </w:r>
    </w:p>
    <w:p w14:paraId="036B81E1" w14:textId="77777777" w:rsidR="0091422B" w:rsidRPr="00CA66C4" w:rsidRDefault="0091422B" w:rsidP="00CA66C4">
      <w:pPr>
        <w:spacing w:before="120" w:after="120"/>
        <w:jc w:val="both"/>
        <w:rPr>
          <w:rFonts w:asciiTheme="minorHAnsi" w:hAnsiTheme="minorHAnsi" w:cs="Tahoma"/>
        </w:rPr>
      </w:pPr>
    </w:p>
    <w:p w14:paraId="4E62563A" w14:textId="77777777" w:rsidR="0091422B" w:rsidRPr="00CA66C4" w:rsidRDefault="0091422B" w:rsidP="00CA66C4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Conocimiento de los informes de evaluación de las rotaciones del residente asignado.</w:t>
      </w:r>
    </w:p>
    <w:p w14:paraId="2D92BF78" w14:textId="77777777" w:rsidR="0091422B" w:rsidRPr="00CA66C4" w:rsidRDefault="0091422B" w:rsidP="00CA66C4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lastRenderedPageBreak/>
        <w:t>Valoración del cumplimiento del Plan Transversal Común por parte del residente.</w:t>
      </w:r>
    </w:p>
    <w:p w14:paraId="71C8349C" w14:textId="77777777" w:rsidR="0091422B" w:rsidRPr="00CA66C4" w:rsidRDefault="0091422B" w:rsidP="00CA66C4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="Tahoma"/>
        </w:rPr>
      </w:pPr>
      <w:r w:rsidRPr="00CA66C4">
        <w:rPr>
          <w:rFonts w:asciiTheme="minorHAnsi" w:hAnsiTheme="minorHAnsi" w:cs="Tahoma"/>
        </w:rPr>
        <w:t>Elaboración del informe anual de evaluación formativa que valore el progreso del residente.</w:t>
      </w:r>
    </w:p>
    <w:p w14:paraId="28973298" w14:textId="77777777" w:rsidR="0091422B" w:rsidRPr="002B5144" w:rsidRDefault="0091422B" w:rsidP="0091422B">
      <w:pPr>
        <w:rPr>
          <w:rFonts w:asciiTheme="minorHAnsi" w:hAnsiTheme="minorHAnsi" w:cs="Tahoma"/>
          <w:color w:val="000000"/>
          <w:sz w:val="18"/>
          <w:szCs w:val="18"/>
        </w:rPr>
      </w:pPr>
    </w:p>
    <w:p w14:paraId="0A78F34D" w14:textId="77777777" w:rsidR="0091422B" w:rsidRPr="002B5144" w:rsidRDefault="0091422B" w:rsidP="0091422B">
      <w:pPr>
        <w:rPr>
          <w:rFonts w:asciiTheme="minorHAnsi" w:hAnsiTheme="minorHAnsi" w:cs="Tahoma"/>
          <w:sz w:val="18"/>
          <w:szCs w:val="18"/>
        </w:rPr>
      </w:pPr>
    </w:p>
    <w:p w14:paraId="5D1A8C64" w14:textId="77777777" w:rsidR="0091422B" w:rsidRPr="002B5144" w:rsidRDefault="0091422B" w:rsidP="0091422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  <w:r w:rsidRPr="002B5144"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 en los términos y condiciones expuestos en el Anexo VIII. </w:t>
      </w:r>
    </w:p>
    <w:p w14:paraId="5E88B3BD" w14:textId="77777777" w:rsidR="0091422B" w:rsidRPr="002B5144" w:rsidRDefault="0091422B" w:rsidP="0091422B">
      <w:pPr>
        <w:rPr>
          <w:rFonts w:asciiTheme="minorHAnsi" w:hAnsiTheme="minorHAnsi" w:cs="Tahoma"/>
          <w:i/>
          <w:sz w:val="12"/>
          <w:szCs w:val="12"/>
        </w:rPr>
      </w:pPr>
    </w:p>
    <w:p w14:paraId="3D644A94" w14:textId="77777777" w:rsidR="0091422B" w:rsidRPr="002B5144" w:rsidRDefault="0091422B" w:rsidP="0091422B">
      <w:pPr>
        <w:rPr>
          <w:rFonts w:asciiTheme="minorHAnsi" w:hAnsiTheme="minorHAnsi" w:cs="Tahoma"/>
          <w:i/>
          <w:sz w:val="18"/>
          <w:szCs w:val="18"/>
        </w:rPr>
      </w:pPr>
    </w:p>
    <w:p w14:paraId="4B8DDF57" w14:textId="77777777" w:rsidR="0091422B" w:rsidRPr="006808DF" w:rsidRDefault="0091422B" w:rsidP="0091422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</w:p>
    <w:p w14:paraId="1CBDE2B3" w14:textId="77777777" w:rsidR="0091422B" w:rsidRPr="006808DF" w:rsidRDefault="0091422B" w:rsidP="0091422B">
      <w:pPr>
        <w:pStyle w:val="Sangradetextonormal"/>
        <w:ind w:left="0"/>
        <w:jc w:val="both"/>
        <w:rPr>
          <w:rFonts w:asciiTheme="minorHAnsi" w:hAnsiTheme="minorHAnsi" w:cs="Tahoma"/>
          <w:b/>
          <w:sz w:val="12"/>
          <w:szCs w:val="12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7A1A8" wp14:editId="21917C9B">
                <wp:simplePos x="0" y="0"/>
                <wp:positionH relativeFrom="column">
                  <wp:posOffset>-251460</wp:posOffset>
                </wp:positionH>
                <wp:positionV relativeFrom="paragraph">
                  <wp:posOffset>205740</wp:posOffset>
                </wp:positionV>
                <wp:extent cx="152400" cy="104775"/>
                <wp:effectExtent l="0" t="0" r="19050" b="28575"/>
                <wp:wrapNone/>
                <wp:docPr id="2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745B0" id="10 Rectángulo" o:spid="_x0000_s1026" style="position:absolute;margin-left:-19.8pt;margin-top:16.2pt;width:1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F/SzD/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3BAEBB8E" w14:textId="77777777" w:rsidR="0091422B" w:rsidRPr="006808DF" w:rsidRDefault="0091422B" w:rsidP="0091422B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SR. PRESIDENTE DE LA COMISIÓN DE DOCENCIA DE</w:t>
      </w:r>
      <w:r>
        <w:rPr>
          <w:rFonts w:asciiTheme="minorHAnsi" w:hAnsiTheme="minorHAnsi" w:cs="Tahoma"/>
          <w:b/>
          <w:sz w:val="18"/>
          <w:szCs w:val="18"/>
        </w:rPr>
        <w:t xml:space="preserve"> ……………</w:t>
      </w:r>
      <w:r w:rsidRPr="006808DF">
        <w:rPr>
          <w:rFonts w:asciiTheme="minorHAnsi" w:hAnsiTheme="minorHAnsi" w:cs="Tahoma"/>
          <w:b/>
          <w:sz w:val="18"/>
          <w:szCs w:val="18"/>
        </w:rPr>
        <w:t>………………</w:t>
      </w:r>
      <w:r>
        <w:rPr>
          <w:rFonts w:asciiTheme="minorHAnsi" w:hAnsiTheme="minorHAnsi" w:cs="Tahoma"/>
          <w:b/>
          <w:sz w:val="18"/>
          <w:szCs w:val="18"/>
        </w:rPr>
        <w:t>………………………………………………….</w:t>
      </w:r>
    </w:p>
    <w:p w14:paraId="395DF7D9" w14:textId="77777777" w:rsidR="0091422B" w:rsidRDefault="0091422B" w:rsidP="0091422B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6003A" wp14:editId="15239A93">
                <wp:simplePos x="0" y="0"/>
                <wp:positionH relativeFrom="column">
                  <wp:posOffset>-251460</wp:posOffset>
                </wp:positionH>
                <wp:positionV relativeFrom="paragraph">
                  <wp:posOffset>211455</wp:posOffset>
                </wp:positionV>
                <wp:extent cx="152400" cy="104775"/>
                <wp:effectExtent l="0" t="0" r="19050" b="28575"/>
                <wp:wrapNone/>
                <wp:docPr id="21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6A9B3" id="10 Rectángulo" o:spid="_x0000_s1026" style="position:absolute;margin-left:-19.8pt;margin-top:16.65pt;width:12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DddCVH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64FA21B0" w14:textId="77777777" w:rsidR="0091422B" w:rsidRDefault="0091422B" w:rsidP="0091422B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DIRECCIÓN GENERAL DE P</w:t>
      </w:r>
      <w:r>
        <w:rPr>
          <w:rFonts w:asciiTheme="minorHAnsi" w:hAnsiTheme="minorHAnsi" w:cs="Tahoma"/>
          <w:b/>
          <w:sz w:val="18"/>
          <w:szCs w:val="18"/>
        </w:rPr>
        <w:t>ERSONAL Y DESARROLLO PROFESIONAL</w:t>
      </w:r>
      <w:r w:rsidRPr="006808DF">
        <w:rPr>
          <w:rFonts w:asciiTheme="minorHAnsi" w:hAnsiTheme="minorHAnsi" w:cs="Tahoma"/>
          <w:b/>
          <w:sz w:val="18"/>
          <w:szCs w:val="18"/>
        </w:rPr>
        <w:t xml:space="preserve"> DE LA GERENCIA REGIONAL DE SALUD</w:t>
      </w:r>
    </w:p>
    <w:p w14:paraId="6AEB3F51" w14:textId="77777777" w:rsidR="0091422B" w:rsidRDefault="0091422B" w:rsidP="0091422B">
      <w:pPr>
        <w:pStyle w:val="Sangradetextonormal"/>
        <w:ind w:left="0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AC4126">
        <w:rPr>
          <w:rFonts w:asciiTheme="minorHAnsi" w:hAnsiTheme="minorHAnsi" w:cs="Tahoma"/>
          <w:b/>
          <w:sz w:val="18"/>
          <w:szCs w:val="18"/>
        </w:rPr>
        <w:t xml:space="preserve">EXCLUSIVAMENTE </w:t>
      </w:r>
      <w:r w:rsidRPr="00AC4126">
        <w:rPr>
          <w:rFonts w:asciiTheme="minorHAnsi" w:hAnsiTheme="minorHAnsi" w:cs="Tahoma"/>
          <w:bCs/>
          <w:sz w:val="18"/>
          <w:szCs w:val="18"/>
        </w:rPr>
        <w:t xml:space="preserve">en </w:t>
      </w:r>
      <w:r w:rsidRPr="00AC4126">
        <w:rPr>
          <w:rFonts w:asciiTheme="minorHAnsi" w:hAnsiTheme="minorHAnsi" w:cs="Arial"/>
          <w:sz w:val="18"/>
          <w:szCs w:val="18"/>
        </w:rPr>
        <w:t>el caso de las comisiones de docencia de carácter regional (</w:t>
      </w:r>
      <w:r w:rsidRPr="00AC4126">
        <w:rPr>
          <w:rFonts w:asciiTheme="minorHAnsi" w:hAnsiTheme="minorHAnsi" w:cs="Arial"/>
          <w:b/>
          <w:bCs/>
          <w:sz w:val="18"/>
          <w:szCs w:val="18"/>
        </w:rPr>
        <w:t xml:space="preserve">Unidad Docente de Medicina Preventiva y Salud Pública de Castilla y León y Unidad Docente Multiprofesional de Salud Laboral de Castilla y León) </w:t>
      </w:r>
      <w:r w:rsidRPr="00AC4126">
        <w:rPr>
          <w:rFonts w:asciiTheme="minorHAnsi" w:hAnsiTheme="minorHAnsi" w:cs="Arial"/>
          <w:sz w:val="18"/>
          <w:szCs w:val="18"/>
        </w:rPr>
        <w:t>o</w:t>
      </w:r>
      <w:r w:rsidRPr="00AC4126">
        <w:rPr>
          <w:rFonts w:asciiTheme="minorHAnsi" w:hAnsiTheme="minorHAnsi" w:cs="Arial"/>
        </w:rPr>
        <w:t xml:space="preserve"> </w:t>
      </w:r>
      <w:r w:rsidRPr="00AC4126">
        <w:rPr>
          <w:rFonts w:asciiTheme="minorHAnsi" w:hAnsiTheme="minorHAnsi" w:cs="Arial"/>
          <w:sz w:val="18"/>
          <w:szCs w:val="18"/>
        </w:rPr>
        <w:t xml:space="preserve">profesionales sanitarios de una administración pública que preste servicios en la Comunidad de Castilla y </w:t>
      </w:r>
      <w:proofErr w:type="gramStart"/>
      <w:r w:rsidRPr="00AC4126">
        <w:rPr>
          <w:rFonts w:asciiTheme="minorHAnsi" w:hAnsiTheme="minorHAnsi" w:cs="Arial"/>
          <w:sz w:val="18"/>
          <w:szCs w:val="18"/>
        </w:rPr>
        <w:t>León</w:t>
      </w:r>
      <w:proofErr w:type="gramEnd"/>
      <w:r w:rsidRPr="00AC4126">
        <w:rPr>
          <w:rFonts w:asciiTheme="minorHAnsi" w:hAnsiTheme="minorHAnsi" w:cs="Arial"/>
          <w:sz w:val="18"/>
          <w:szCs w:val="18"/>
        </w:rPr>
        <w:t xml:space="preserve"> pero fuera de los centros o unidades docentes  </w:t>
      </w:r>
    </w:p>
    <w:p w14:paraId="5DE8F338" w14:textId="77777777" w:rsidR="0091422B" w:rsidRPr="002B5144" w:rsidRDefault="0091422B" w:rsidP="0091422B">
      <w:pPr>
        <w:pStyle w:val="Sangradetextonormal"/>
        <w:ind w:left="0"/>
        <w:rPr>
          <w:rFonts w:asciiTheme="minorHAnsi" w:hAnsiTheme="minorHAnsi" w:cs="Tahoma"/>
          <w:b/>
          <w:sz w:val="18"/>
          <w:szCs w:val="18"/>
        </w:rPr>
      </w:pPr>
    </w:p>
    <w:p w14:paraId="16300E0D" w14:textId="77777777" w:rsidR="000A060A" w:rsidRDefault="000A060A"/>
    <w:sectPr w:rsidR="000A060A" w:rsidSect="00CA66C4">
      <w:pgSz w:w="11906" w:h="16838"/>
      <w:pgMar w:top="1701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70D10"/>
    <w:multiLevelType w:val="hybridMultilevel"/>
    <w:tmpl w:val="A9FC9268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F08F8"/>
    <w:multiLevelType w:val="hybridMultilevel"/>
    <w:tmpl w:val="860C003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6137D"/>
    <w:multiLevelType w:val="hybridMultilevel"/>
    <w:tmpl w:val="C1427A7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A1F76"/>
    <w:multiLevelType w:val="hybridMultilevel"/>
    <w:tmpl w:val="6A9EB77C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6140279">
    <w:abstractNumId w:val="1"/>
  </w:num>
  <w:num w:numId="2" w16cid:durableId="349599984">
    <w:abstractNumId w:val="2"/>
  </w:num>
  <w:num w:numId="3" w16cid:durableId="1904751379">
    <w:abstractNumId w:val="0"/>
  </w:num>
  <w:num w:numId="4" w16cid:durableId="997074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2B"/>
    <w:rsid w:val="000A060A"/>
    <w:rsid w:val="000A38D4"/>
    <w:rsid w:val="00716958"/>
    <w:rsid w:val="00815256"/>
    <w:rsid w:val="0091422B"/>
    <w:rsid w:val="00933B4B"/>
    <w:rsid w:val="00957EFB"/>
    <w:rsid w:val="00AE2070"/>
    <w:rsid w:val="00CA66C4"/>
    <w:rsid w:val="00C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6D5B"/>
  <w15:chartTrackingRefBased/>
  <w15:docId w15:val="{5F7062FA-4A81-4C95-BAEC-A5B2A6E1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4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4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4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4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4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4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4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42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42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42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42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42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42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4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4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4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4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4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42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42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42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4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42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422B"/>
    <w:rPr>
      <w:b/>
      <w:bCs/>
      <w:smallCaps/>
      <w:color w:val="2F5496" w:themeColor="accent1" w:themeShade="BF"/>
      <w:spacing w:val="5"/>
    </w:rPr>
  </w:style>
  <w:style w:type="paragraph" w:customStyle="1" w:styleId="Pa12">
    <w:name w:val="Pa12"/>
    <w:basedOn w:val="Normal"/>
    <w:next w:val="Normal"/>
    <w:rsid w:val="0091422B"/>
    <w:pPr>
      <w:autoSpaceDE w:val="0"/>
      <w:autoSpaceDN w:val="0"/>
      <w:adjustRightInd w:val="0"/>
      <w:spacing w:line="221" w:lineRule="atLeast"/>
    </w:pPr>
    <w:rPr>
      <w:rFonts w:ascii="Arial" w:hAnsi="Arial"/>
    </w:rPr>
  </w:style>
  <w:style w:type="paragraph" w:styleId="Sangradetextonormal">
    <w:name w:val="Body Text Indent"/>
    <w:basedOn w:val="Normal"/>
    <w:link w:val="SangradetextonormalCar"/>
    <w:rsid w:val="0091422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1422B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Carbajo, Luis</dc:creator>
  <cp:keywords/>
  <dc:description/>
  <cp:lastModifiedBy>Fernandez Carbajo, Luis</cp:lastModifiedBy>
  <cp:revision>3</cp:revision>
  <dcterms:created xsi:type="dcterms:W3CDTF">2024-10-15T15:40:00Z</dcterms:created>
  <dcterms:modified xsi:type="dcterms:W3CDTF">2024-10-15T15:57:00Z</dcterms:modified>
</cp:coreProperties>
</file>