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E2" w:rsidRDefault="00537AE2" w:rsidP="00537AE2">
      <w:pPr>
        <w:spacing w:after="0" w:line="252" w:lineRule="atLeast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4"/>
          <w:kern w:val="36"/>
          <w:sz w:val="40"/>
          <w:szCs w:val="40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222222"/>
          <w:spacing w:val="-4"/>
          <w:kern w:val="36"/>
          <w:sz w:val="40"/>
          <w:szCs w:val="40"/>
          <w:lang w:eastAsia="es-ES"/>
        </w:rPr>
        <w:drawing>
          <wp:inline distT="0" distB="0" distL="0" distR="0">
            <wp:extent cx="1747318" cy="1747318"/>
            <wp:effectExtent l="0" t="0" r="5715" b="571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nsalud.es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691" cy="175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AE2" w:rsidRPr="00537AE2" w:rsidRDefault="00537AE2" w:rsidP="00537AE2">
      <w:pPr>
        <w:spacing w:after="0" w:line="252" w:lineRule="atLeast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4"/>
          <w:kern w:val="36"/>
          <w:sz w:val="40"/>
          <w:szCs w:val="40"/>
          <w:lang w:eastAsia="es-ES"/>
        </w:rPr>
      </w:pPr>
      <w:bookmarkStart w:id="0" w:name="_GoBack"/>
      <w:bookmarkEnd w:id="0"/>
      <w:r w:rsidRPr="00537AE2">
        <w:rPr>
          <w:rFonts w:ascii="Arial" w:eastAsia="Times New Roman" w:hAnsi="Arial" w:cs="Arial"/>
          <w:b/>
          <w:bCs/>
          <w:color w:val="222222"/>
          <w:spacing w:val="-4"/>
          <w:kern w:val="36"/>
          <w:sz w:val="40"/>
          <w:szCs w:val="40"/>
          <w:lang w:eastAsia="es-ES"/>
        </w:rPr>
        <w:t>Un estudio revela que el pronóstico de los pacientes de Covid-19 está determinado por la carga viral</w:t>
      </w:r>
    </w:p>
    <w:p w:rsidR="00537AE2" w:rsidRPr="00537AE2" w:rsidRDefault="00537AE2" w:rsidP="00537AE2">
      <w:pPr>
        <w:spacing w:before="100" w:beforeAutospacing="1" w:after="100" w:afterAutospacing="1" w:line="324" w:lineRule="atLeast"/>
        <w:jc w:val="center"/>
        <w:outlineLvl w:val="1"/>
        <w:rPr>
          <w:rFonts w:ascii="Arial" w:eastAsia="Times New Roman" w:hAnsi="Arial" w:cs="Arial"/>
          <w:color w:val="666666"/>
          <w:sz w:val="27"/>
          <w:szCs w:val="27"/>
          <w:lang w:eastAsia="es-ES"/>
        </w:rPr>
      </w:pPr>
      <w:r w:rsidRPr="00537AE2">
        <w:rPr>
          <w:rFonts w:ascii="Arial" w:eastAsia="Times New Roman" w:hAnsi="Arial" w:cs="Arial"/>
          <w:color w:val="666666"/>
          <w:sz w:val="27"/>
          <w:szCs w:val="27"/>
          <w:lang w:eastAsia="es-ES"/>
        </w:rPr>
        <w:t>La carga viral en sangre que presente el paciente a la hora de su ingreso en UCI sería determinante en el pronóstico de los pacientes críticos con Covid-19</w:t>
      </w:r>
    </w:p>
    <w:p w:rsidR="00537AE2" w:rsidRPr="00537AE2" w:rsidRDefault="00537AE2" w:rsidP="00537AE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537AE2">
        <w:rPr>
          <w:rFonts w:ascii="Arial" w:eastAsia="Times New Roman" w:hAnsi="Arial" w:cs="Arial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5322066" cy="2498921"/>
            <wp:effectExtent l="0" t="0" r="0" b="0"/>
            <wp:docPr id="17" name="Imagen 17" descr="El pronóstico de los pacientes de Covid-19 está determinado por la carga viral (Foto: Freepi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l pronóstico de los pacientes de Covid-19 está determinado por la carga viral (Foto: Freepik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967" cy="251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AE2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El pronóstico de los pacientes de Covid-19 está determinado por la carga viral (Foto: </w:t>
      </w:r>
      <w:proofErr w:type="spellStart"/>
      <w:r w:rsidRPr="00537AE2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Freepik</w:t>
      </w:r>
      <w:proofErr w:type="spellEnd"/>
      <w:r w:rsidRPr="00537AE2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)</w:t>
      </w:r>
    </w:p>
    <w:p w:rsidR="00537AE2" w:rsidRPr="00537AE2" w:rsidRDefault="00537AE2" w:rsidP="00537AE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537AE2">
        <w:rPr>
          <w:rFonts w:ascii="Tahoma" w:eastAsia="Times New Roman" w:hAnsi="Tahoma" w:cs="Tahoma"/>
          <w:color w:val="9A9A9A"/>
          <w:sz w:val="21"/>
          <w:szCs w:val="21"/>
          <w:lang w:eastAsia="es-ES"/>
        </w:rPr>
        <w:t xml:space="preserve">26.04.2023 </w:t>
      </w:r>
    </w:p>
    <w:p w:rsidR="00537AE2" w:rsidRPr="00537AE2" w:rsidRDefault="00537AE2" w:rsidP="00537AE2">
      <w:pPr>
        <w:spacing w:after="375" w:line="390" w:lineRule="atLeast"/>
        <w:rPr>
          <w:rFonts w:ascii="Tahoma" w:eastAsia="Times New Roman" w:hAnsi="Tahoma" w:cs="Tahoma"/>
          <w:color w:val="333333"/>
          <w:sz w:val="27"/>
          <w:szCs w:val="27"/>
          <w:lang w:eastAsia="es-ES"/>
        </w:rPr>
      </w:pP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La clave para prevenir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complicaciones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de la </w:t>
      </w:r>
      <w:hyperlink r:id="rId7" w:tgtFrame="_self" w:tooltip="De la incertidumbre a una inmunización generalizada: así ha evolucionado la vacuna de la Covid-19" w:history="1">
        <w:r w:rsidRPr="00537AE2">
          <w:rPr>
            <w:rFonts w:ascii="Arial" w:eastAsia="Times New Roman" w:hAnsi="Arial" w:cs="Arial"/>
            <w:b/>
            <w:bCs/>
            <w:color w:val="006699"/>
            <w:sz w:val="27"/>
            <w:szCs w:val="27"/>
            <w:u w:val="single"/>
            <w:lang w:eastAsia="es-ES"/>
          </w:rPr>
          <w:t>Covid-19</w:t>
        </w:r>
      </w:hyperlink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en pacientes con factores de riesgo radica en el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control temprano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del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virus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. Así lo ha revelado una investigación llevada a cabo por varios grupos del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área de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 Enfermedades Respiratorias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(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CIBERES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) y del área de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Enfermedades Infecciosas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(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CIBERINFEC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) del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Centro de Investigación Biomédica en Red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(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CIBER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), consorcio adscrito al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Instituto de Salud Carlos III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(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ISCIII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). Según la investigación, la </w:t>
      </w:r>
      <w:hyperlink r:id="rId8" w:tgtFrame="_self" w:tooltip="Nuevo patrón de contagio del SARS-CoV-2: carga viral baja que se elimina con rapidez" w:history="1">
        <w:r w:rsidRPr="00537AE2">
          <w:rPr>
            <w:rFonts w:ascii="Arial" w:eastAsia="Times New Roman" w:hAnsi="Arial" w:cs="Arial"/>
            <w:b/>
            <w:bCs/>
            <w:color w:val="006699"/>
            <w:sz w:val="27"/>
            <w:szCs w:val="27"/>
            <w:u w:val="single"/>
            <w:lang w:eastAsia="es-ES"/>
          </w:rPr>
          <w:t>carga viral</w:t>
        </w:r>
      </w:hyperlink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en sangre a la hora del ingreso en la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UCI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sería un factor determinante en el pronóstico de los pacientes críticos con </w:t>
      </w:r>
      <w:hyperlink r:id="rId9" w:tgtFrame="_self" w:tooltip="Covid-19: España alcanza las 120.715muertes y la IA sube casi 20 puntos, hasta los 89,49" w:history="1">
        <w:r w:rsidRPr="00537AE2">
          <w:rPr>
            <w:rFonts w:ascii="Arial" w:eastAsia="Times New Roman" w:hAnsi="Arial" w:cs="Arial"/>
            <w:b/>
            <w:bCs/>
            <w:color w:val="006699"/>
            <w:sz w:val="27"/>
            <w:szCs w:val="27"/>
            <w:u w:val="single"/>
            <w:lang w:eastAsia="es-ES"/>
          </w:rPr>
          <w:t>Covid-19</w:t>
        </w:r>
      </w:hyperlink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.</w:t>
      </w:r>
    </w:p>
    <w:p w:rsidR="00537AE2" w:rsidRPr="00537AE2" w:rsidRDefault="00537AE2" w:rsidP="00537AE2">
      <w:pPr>
        <w:spacing w:after="375" w:line="390" w:lineRule="atLeast"/>
        <w:rPr>
          <w:rFonts w:ascii="Tahoma" w:eastAsia="Times New Roman" w:hAnsi="Tahoma" w:cs="Tahoma"/>
          <w:color w:val="333333"/>
          <w:sz w:val="27"/>
          <w:szCs w:val="27"/>
          <w:lang w:eastAsia="es-ES"/>
        </w:rPr>
      </w:pP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lastRenderedPageBreak/>
        <w:t>Los investigadores del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CIBER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Antoni Torres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Ferrán Barbé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Jesús Bermejo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Anna Motos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y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Salvador Resino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junto a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Nadia García-Mateo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(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IBSAL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) y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David J. Kelvin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de la </w:t>
      </w:r>
      <w:proofErr w:type="spellStart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Dalhousie</w:t>
      </w:r>
      <w:proofErr w:type="spellEnd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 xml:space="preserve"> </w:t>
      </w:r>
      <w:proofErr w:type="spellStart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University</w:t>
      </w:r>
      <w:proofErr w:type="spellEnd"/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de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Canadá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observaron que cuanto mayor carga de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ARN viral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en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 plasma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presentaban los pacientes con </w:t>
      </w:r>
      <w:hyperlink r:id="rId10" w:tgtFrame="_self" w:tooltip="28M: Madrid supera el reto capital de la Covid-19 y deja las menores listas de espera quirúrgicas" w:history="1">
        <w:r w:rsidRPr="00537AE2">
          <w:rPr>
            <w:rFonts w:ascii="Arial" w:eastAsia="Times New Roman" w:hAnsi="Arial" w:cs="Arial"/>
            <w:b/>
            <w:bCs/>
            <w:color w:val="006699"/>
            <w:sz w:val="27"/>
            <w:szCs w:val="27"/>
            <w:u w:val="single"/>
            <w:lang w:eastAsia="es-ES"/>
          </w:rPr>
          <w:t>Covid-19</w:t>
        </w:r>
      </w:hyperlink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al ingreso en la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UCI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mayor era el riesgo de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mortalidad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.</w:t>
      </w:r>
    </w:p>
    <w:p w:rsidR="00537AE2" w:rsidRPr="00537AE2" w:rsidRDefault="00537AE2" w:rsidP="00537AE2">
      <w:pPr>
        <w:spacing w:after="100" w:line="240" w:lineRule="auto"/>
        <w:outlineLvl w:val="1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537AE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s-ES"/>
        </w:rPr>
        <w:t>El estudio demuestra que los pacientes con Covid-19 que no son capaces de controlar el virus son los que presentan peor pronóstico</w:t>
      </w:r>
    </w:p>
    <w:p w:rsidR="00537AE2" w:rsidRPr="00537AE2" w:rsidRDefault="00537AE2" w:rsidP="00537AE2">
      <w:pPr>
        <w:spacing w:after="375" w:line="390" w:lineRule="atLeast"/>
        <w:rPr>
          <w:rFonts w:ascii="Tahoma" w:eastAsia="Times New Roman" w:hAnsi="Tahoma" w:cs="Tahoma"/>
          <w:color w:val="333333"/>
          <w:sz w:val="27"/>
          <w:szCs w:val="27"/>
          <w:lang w:eastAsia="es-ES"/>
        </w:rPr>
      </w:pP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En este sentido, se identificó a un grupo de pacientes que presentaba una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‘tormenta vírica’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caracterizada por </w:t>
      </w:r>
      <w:proofErr w:type="spellStart"/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por</w:t>
      </w:r>
      <w:proofErr w:type="spellEnd"/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 xml:space="preserve"> la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liberación masiva de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ácido ribonucleico (ARN)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y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 proteínas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del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 </w:t>
      </w:r>
      <w:hyperlink r:id="rId11" w:tgtFrame="_self" w:tooltip="La OMS niega haber abandonado la investigación sobre el origen del SARS-CoV-2" w:history="1">
        <w:r w:rsidRPr="00537AE2">
          <w:rPr>
            <w:rFonts w:ascii="Arial" w:eastAsia="Times New Roman" w:hAnsi="Arial" w:cs="Arial"/>
            <w:b/>
            <w:bCs/>
            <w:color w:val="006699"/>
            <w:sz w:val="27"/>
            <w:szCs w:val="27"/>
            <w:u w:val="single"/>
            <w:lang w:eastAsia="es-ES"/>
          </w:rPr>
          <w:t>SARS-CoV-2</w:t>
        </w:r>
      </w:hyperlink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en sangre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.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Estos pacientes no habían producido suficientes </w:t>
      </w:r>
      <w:hyperlink r:id="rId12" w:tgtFrame="_self" w:tooltip="Un estudio revela la eficacia real de los tratamientos con anticuerpos monoclonales para la Covid-19" w:history="1">
        <w:r w:rsidRPr="00537AE2">
          <w:rPr>
            <w:rFonts w:ascii="Arial" w:eastAsia="Times New Roman" w:hAnsi="Arial" w:cs="Arial"/>
            <w:b/>
            <w:bCs/>
            <w:color w:val="006699"/>
            <w:sz w:val="27"/>
            <w:szCs w:val="27"/>
            <w:u w:val="single"/>
            <w:lang w:eastAsia="es-ES"/>
          </w:rPr>
          <w:t>anticuerpos</w:t>
        </w:r>
      </w:hyperlink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contra la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proteína 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del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virus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a su ingreso en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UCI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mostrando signos de una mayor </w:t>
      </w:r>
      <w:hyperlink r:id="rId13" w:tgtFrame="_self" w:tooltip="&quot;El ibuprofeno amortigua la respuesta inflamatoria desproporcionada que desencadena el coronavirus&quot;" w:history="1">
        <w:r w:rsidRPr="00537AE2">
          <w:rPr>
            <w:rFonts w:ascii="Arial" w:eastAsia="Times New Roman" w:hAnsi="Arial" w:cs="Arial"/>
            <w:b/>
            <w:bCs/>
            <w:color w:val="006699"/>
            <w:sz w:val="27"/>
            <w:szCs w:val="27"/>
            <w:u w:val="single"/>
            <w:lang w:eastAsia="es-ES"/>
          </w:rPr>
          <w:t>respuesta inflamatoria</w:t>
        </w:r>
      </w:hyperlink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.</w:t>
      </w:r>
    </w:p>
    <w:p w:rsidR="00537AE2" w:rsidRPr="00537AE2" w:rsidRDefault="00537AE2" w:rsidP="00537AE2">
      <w:pPr>
        <w:spacing w:after="375" w:line="390" w:lineRule="atLeast"/>
        <w:rPr>
          <w:rFonts w:ascii="Tahoma" w:eastAsia="Times New Roman" w:hAnsi="Tahoma" w:cs="Tahoma"/>
          <w:color w:val="333333"/>
          <w:sz w:val="27"/>
          <w:szCs w:val="27"/>
          <w:lang w:eastAsia="es-ES"/>
        </w:rPr>
      </w:pP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El mencionado grupo representa un tercio de los 836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pacientes críticos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con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Covid-19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de una cohorte reclutada durante el primer año de </w:t>
      </w:r>
      <w:hyperlink r:id="rId14" w:tgtFrame="_self" w:tooltip="La OMS saca los colores a España: El 80% de las enfermeras han sufrido 'burnout' tras la pandemia" w:history="1">
        <w:r w:rsidRPr="00537AE2">
          <w:rPr>
            <w:rFonts w:ascii="Arial" w:eastAsia="Times New Roman" w:hAnsi="Arial" w:cs="Arial"/>
            <w:b/>
            <w:bCs/>
            <w:color w:val="006699"/>
            <w:sz w:val="27"/>
            <w:szCs w:val="27"/>
            <w:u w:val="single"/>
            <w:lang w:eastAsia="es-ES"/>
          </w:rPr>
          <w:t>pandemia</w:t>
        </w:r>
      </w:hyperlink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en 23 </w:t>
      </w:r>
      <w:proofErr w:type="spellStart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UCIs</w:t>
      </w:r>
      <w:proofErr w:type="spellEnd"/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de todo el país. Estos pacientes representaban la mayor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tasa de mortalidad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pero también tenían complicaciones muy significativas. Así, el 94 % necesitaron </w:t>
      </w:r>
      <w:hyperlink r:id="rId15" w:tgtFrame="_self" w:tooltip="Pacientes con ventilación mecánica no invasiva en pandemia" w:history="1">
        <w:r w:rsidRPr="00537AE2">
          <w:rPr>
            <w:rFonts w:ascii="Arial" w:eastAsia="Times New Roman" w:hAnsi="Arial" w:cs="Arial"/>
            <w:b/>
            <w:bCs/>
            <w:color w:val="006699"/>
            <w:sz w:val="27"/>
            <w:szCs w:val="27"/>
            <w:u w:val="single"/>
            <w:lang w:eastAsia="es-ES"/>
          </w:rPr>
          <w:t>ventilación mecánica invasiva</w:t>
        </w:r>
      </w:hyperlink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el 41% sufrieron un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fallo renal agudo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y el 65% desarrollaron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infecciones secundarias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.</w:t>
      </w:r>
    </w:p>
    <w:p w:rsidR="00537AE2" w:rsidRPr="00537AE2" w:rsidRDefault="00537AE2" w:rsidP="00537AE2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537AE2">
        <w:rPr>
          <w:rFonts w:ascii="Arial" w:eastAsia="Times New Roman" w:hAnsi="Arial" w:cs="Arial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5186937" cy="1745302"/>
            <wp:effectExtent l="0" t="0" r="0" b="7620"/>
            <wp:docPr id="13" name="Imagen 13" descr="De izq. a dcha. Ferrán Barbé, Antoni Torres, Anna Motos, Jesús Bermejo, Salvador Resino, Nadia García-Mateo y David J. Kelvin (Foto: CIB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e izq. a dcha. Ferrán Barbé, Antoni Torres, Anna Motos, Jesús Bermejo, Salvador Resino, Nadia García-Mateo y David J. Kelvin (Foto: CIBER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502" cy="17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AE2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De izq. a dcha. Ferrán Barbé, Antoni Torres, Anna Motos, Jesús Bermejo, Salvador Resino, Nadia García-Mateo y David J. Kelvin (Foto: CIBER)</w:t>
      </w:r>
    </w:p>
    <w:p w:rsidR="00537AE2" w:rsidRPr="00537AE2" w:rsidRDefault="00537AE2" w:rsidP="00537AE2">
      <w:pPr>
        <w:spacing w:after="375" w:line="390" w:lineRule="atLeast"/>
        <w:rPr>
          <w:rFonts w:ascii="Tahoma" w:eastAsia="Times New Roman" w:hAnsi="Tahoma" w:cs="Tahoma"/>
          <w:color w:val="333333"/>
          <w:sz w:val="27"/>
          <w:szCs w:val="27"/>
          <w:lang w:eastAsia="es-ES"/>
        </w:rPr>
      </w:pP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lastRenderedPageBreak/>
        <w:t>Esto demuestra que los pacientes con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Covid-19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que no son capaces de controlar el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virus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son los que presentan peor pronóstico. Además, la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respuesta inflamatoria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en estos pacientes está directamente relacionada con la intensidad de la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replicación vírica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. Estos resultados podrían aplicarse tanto a futuras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pandemias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causadas por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virus emergentes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como a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virus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responsables de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epidemias estacionales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.</w:t>
      </w:r>
    </w:p>
    <w:p w:rsidR="00537AE2" w:rsidRPr="00537AE2" w:rsidRDefault="00537AE2" w:rsidP="00537AE2">
      <w:pPr>
        <w:spacing w:after="375" w:line="390" w:lineRule="atLeast"/>
        <w:rPr>
          <w:rFonts w:ascii="Tahoma" w:eastAsia="Times New Roman" w:hAnsi="Tahoma" w:cs="Tahoma"/>
          <w:color w:val="333333"/>
          <w:sz w:val="27"/>
          <w:szCs w:val="27"/>
          <w:lang w:eastAsia="es-ES"/>
        </w:rPr>
      </w:pP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El estudio “nos ayuda a entender mejor cuál es la verdadera causa primaria de la </w:t>
      </w:r>
      <w:hyperlink r:id="rId17" w:tgtFrame="_self" w:tooltip="La degeneración macular asociada a la edad es un factor de riesgo para desarrollar Covid-19 grave" w:history="1">
        <w:r w:rsidRPr="00537AE2">
          <w:rPr>
            <w:rFonts w:ascii="Arial" w:eastAsia="Times New Roman" w:hAnsi="Arial" w:cs="Arial"/>
            <w:b/>
            <w:bCs/>
            <w:color w:val="006699"/>
            <w:sz w:val="27"/>
            <w:szCs w:val="27"/>
            <w:u w:val="single"/>
            <w:lang w:eastAsia="es-ES"/>
          </w:rPr>
          <w:t>Covid-19 grave</w:t>
        </w:r>
      </w:hyperlink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que es la incapacidad de algunos pacientes para controlar el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virus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demostrada por el paso de grandes cantidades de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material vírico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a la sangre. Estos son pacientes que, por su edad avanzada o por la presencia de otras enfermedades como la </w:t>
      </w:r>
      <w:hyperlink r:id="rId18" w:tgtFrame="_self" w:tooltip="Retos en la diabetes: “Tenemos que estar actualizados y evitar el aumento tan virulento que vivimos”" w:history="1">
        <w:r w:rsidRPr="00537AE2">
          <w:rPr>
            <w:rFonts w:ascii="Arial" w:eastAsia="Times New Roman" w:hAnsi="Arial" w:cs="Arial"/>
            <w:b/>
            <w:bCs/>
            <w:color w:val="006699"/>
            <w:sz w:val="27"/>
            <w:szCs w:val="27"/>
            <w:u w:val="single"/>
            <w:lang w:eastAsia="es-ES"/>
          </w:rPr>
          <w:t>diabetes</w:t>
        </w:r>
      </w:hyperlink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tienen dificultades para producir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anticuerpos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(e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 inmunidad celular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probablemente) contra el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virus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", explica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Jesús Bermejo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investigador principal del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CIBERES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perteneciente al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Instituto de Investigación Biomédica de Salamanca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y al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 xml:space="preserve">Hospital Universitario Río </w:t>
      </w:r>
      <w:proofErr w:type="spellStart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Hortega</w:t>
      </w:r>
      <w:proofErr w:type="spellEnd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 xml:space="preserve"> de Valladolid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.</w:t>
      </w:r>
    </w:p>
    <w:p w:rsidR="00537AE2" w:rsidRPr="00537AE2" w:rsidRDefault="00537AE2" w:rsidP="00537AE2">
      <w:pPr>
        <w:spacing w:after="375" w:line="390" w:lineRule="atLeast"/>
        <w:rPr>
          <w:rFonts w:ascii="Tahoma" w:eastAsia="Times New Roman" w:hAnsi="Tahoma" w:cs="Tahoma"/>
          <w:color w:val="333333"/>
          <w:sz w:val="27"/>
          <w:szCs w:val="27"/>
          <w:lang w:eastAsia="es-ES"/>
        </w:rPr>
      </w:pP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Por otro lado,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Antoni Torres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investigador principal del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CIBERES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perteneciente al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 xml:space="preserve">Servicio de Neumología del Hospital </w:t>
      </w:r>
      <w:proofErr w:type="spellStart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Clínic</w:t>
      </w:r>
      <w:proofErr w:type="spellEnd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 xml:space="preserve"> de Barcelona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afirma que los resultados “demuestran la importancia de la </w:t>
      </w:r>
      <w:hyperlink r:id="rId19" w:tgtFrame="_self" w:tooltip="Medidas preventivas y vacunación Covid-19: ¿cuál ha sido la adherencia?, ¿qué resultados han tenido?" w:history="1">
        <w:r w:rsidRPr="00537AE2">
          <w:rPr>
            <w:rFonts w:ascii="Arial" w:eastAsia="Times New Roman" w:hAnsi="Arial" w:cs="Arial"/>
            <w:b/>
            <w:bCs/>
            <w:color w:val="006699"/>
            <w:sz w:val="27"/>
            <w:szCs w:val="27"/>
            <w:u w:val="single"/>
            <w:lang w:eastAsia="es-ES"/>
          </w:rPr>
          <w:t>vacunación</w:t>
        </w:r>
      </w:hyperlink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sobre todo en los pacientes frágiles, así como del tratamiento temprano con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antivirales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cuando estos pacientes se infectan, con el fin de prevenir que desarrollen esta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‘tormenta vírica’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”. </w:t>
      </w:r>
    </w:p>
    <w:p w:rsidR="00537AE2" w:rsidRPr="00537AE2" w:rsidRDefault="00537AE2" w:rsidP="00537AE2">
      <w:pPr>
        <w:spacing w:after="100" w:line="240" w:lineRule="auto"/>
        <w:outlineLvl w:val="1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537AE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s-ES"/>
        </w:rPr>
        <w:t>Antoni Torres: "Los resultados demuestran la importancia de la vacunación, sobre todo en los pacientes frágiles, así como del tratamiento temprano con antivirales cuando estos pacientes se infectan"</w:t>
      </w:r>
    </w:p>
    <w:p w:rsidR="00537AE2" w:rsidRPr="00537AE2" w:rsidRDefault="00537AE2" w:rsidP="00537AE2">
      <w:pPr>
        <w:spacing w:after="375" w:line="390" w:lineRule="atLeast"/>
        <w:rPr>
          <w:rFonts w:ascii="Tahoma" w:eastAsia="Times New Roman" w:hAnsi="Tahoma" w:cs="Tahoma"/>
          <w:color w:val="333333"/>
          <w:sz w:val="27"/>
          <w:szCs w:val="27"/>
          <w:lang w:eastAsia="es-ES"/>
        </w:rPr>
      </w:pP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Sin embargo, reconoce que hay pacientes que no responden bien a las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vacunas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por ser </w:t>
      </w:r>
      <w:proofErr w:type="spellStart"/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fldChar w:fldCharType="begin"/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instrText xml:space="preserve"> HYPERLINK "https://www.consalud.es/autonomias/c-madrid/el-maranon-contribuye-a-una-nueva-indicacion-de-las-inmunoglobulinas-en-pacientes-inmunosuprimidos_67521_102.html" \o "El Marañón contribuye a una nueva indicación de las inmunoglobulinas en pacientes inmunosuprimidos" \t "_self" </w:instrTex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fldChar w:fldCharType="separate"/>
      </w:r>
      <w:r w:rsidRPr="00537AE2">
        <w:rPr>
          <w:rFonts w:ascii="Arial" w:eastAsia="Times New Roman" w:hAnsi="Arial" w:cs="Arial"/>
          <w:b/>
          <w:bCs/>
          <w:color w:val="006699"/>
          <w:sz w:val="27"/>
          <w:szCs w:val="27"/>
          <w:u w:val="single"/>
          <w:lang w:eastAsia="es-ES"/>
        </w:rPr>
        <w:t>inmunosuprimidos</w:t>
      </w:r>
      <w:proofErr w:type="spellEnd"/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fldChar w:fldCharType="end"/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y que “en ellos tenemos que implementar estrategias activas de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 xml:space="preserve">tratamiento 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lastRenderedPageBreak/>
        <w:t>precoz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con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antivirales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para evitar esta intensidad de la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replicación vírica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”.</w:t>
      </w:r>
    </w:p>
    <w:p w:rsidR="00537AE2" w:rsidRPr="00537AE2" w:rsidRDefault="00537AE2" w:rsidP="00537AE2">
      <w:pPr>
        <w:spacing w:after="375" w:line="390" w:lineRule="atLeast"/>
        <w:rPr>
          <w:rFonts w:ascii="Tahoma" w:eastAsia="Times New Roman" w:hAnsi="Tahoma" w:cs="Tahoma"/>
          <w:color w:val="333333"/>
          <w:sz w:val="27"/>
          <w:szCs w:val="27"/>
          <w:lang w:eastAsia="es-ES"/>
        </w:rPr>
      </w:pP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En el proyecto, liderado por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CIBERES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junto al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Instituto de Investigación Biomédica de Salamanca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el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 xml:space="preserve">Hospital </w:t>
      </w:r>
      <w:proofErr w:type="spellStart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Clínic</w:t>
      </w:r>
      <w:proofErr w:type="spellEnd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 xml:space="preserve"> de Barcelona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y el </w:t>
      </w:r>
      <w:proofErr w:type="spellStart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Institut</w:t>
      </w:r>
      <w:proofErr w:type="spellEnd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 xml:space="preserve"> de Recerca </w:t>
      </w:r>
      <w:proofErr w:type="spellStart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Biomèdica</w:t>
      </w:r>
      <w:proofErr w:type="spellEnd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 xml:space="preserve"> de Lleida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se ha realizado de manera multidisciplinar con la colaboración de más de 80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médicos intensivistas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e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 xml:space="preserve"> investigadores </w:t>
      </w:r>
      <w:proofErr w:type="spellStart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traslacionales</w:t>
      </w:r>
      <w:proofErr w:type="spellEnd"/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de 23 </w:t>
      </w:r>
      <w:proofErr w:type="spellStart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UCIs</w:t>
      </w:r>
      <w:proofErr w:type="spellEnd"/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de toda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España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entre los que se encuentran expertos del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CIBER de Enfermedades Infecciosas (CIBERINFEC)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. También ha contado con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tecnología 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financiada por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CIBERES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y por el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ISCIII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, como las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plataformas de PCR digital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QX200</w:t>
      </w:r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 y de </w:t>
      </w:r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 xml:space="preserve">cuantificación de </w:t>
      </w:r>
      <w:proofErr w:type="spellStart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biomarcadores</w:t>
      </w:r>
      <w:proofErr w:type="spellEnd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 xml:space="preserve"> </w:t>
      </w:r>
      <w:proofErr w:type="spellStart"/>
      <w:r w:rsidRPr="00537AE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SimplePlex</w:t>
      </w:r>
      <w:proofErr w:type="spellEnd"/>
      <w:r w:rsidRPr="00537AE2">
        <w:rPr>
          <w:rFonts w:ascii="Tahoma" w:eastAsia="Times New Roman" w:hAnsi="Tahoma" w:cs="Tahoma"/>
          <w:color w:val="333333"/>
          <w:sz w:val="27"/>
          <w:szCs w:val="27"/>
          <w:lang w:eastAsia="es-ES"/>
        </w:rPr>
        <w:t>.</w:t>
      </w:r>
    </w:p>
    <w:p w:rsidR="00F46974" w:rsidRPr="00537AE2" w:rsidRDefault="00537AE2" w:rsidP="00537AE2"/>
    <w:sectPr w:rsidR="00F46974" w:rsidRPr="00537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96662"/>
    <w:multiLevelType w:val="multilevel"/>
    <w:tmpl w:val="2D42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42166"/>
    <w:multiLevelType w:val="multilevel"/>
    <w:tmpl w:val="2210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B2389"/>
    <w:multiLevelType w:val="multilevel"/>
    <w:tmpl w:val="E4A2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D3F42"/>
    <w:multiLevelType w:val="multilevel"/>
    <w:tmpl w:val="0222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F5848"/>
    <w:multiLevelType w:val="multilevel"/>
    <w:tmpl w:val="27FC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B5B02"/>
    <w:multiLevelType w:val="multilevel"/>
    <w:tmpl w:val="41F2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260C6"/>
    <w:multiLevelType w:val="multilevel"/>
    <w:tmpl w:val="B87C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C341F"/>
    <w:multiLevelType w:val="multilevel"/>
    <w:tmpl w:val="83C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C2"/>
    <w:rsid w:val="003A71DB"/>
    <w:rsid w:val="00537AE2"/>
    <w:rsid w:val="00EB7BF7"/>
    <w:rsid w:val="00FB4CC2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B84A"/>
  <w15:chartTrackingRefBased/>
  <w15:docId w15:val="{E530BB23-FA24-4A10-9BA5-921794FE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B4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B4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B4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FB4C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4CC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B4CC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B4CC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FB4CC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B4CC2"/>
    <w:rPr>
      <w:color w:val="0000FF"/>
      <w:u w:val="single"/>
    </w:rPr>
  </w:style>
  <w:style w:type="character" w:customStyle="1" w:styleId="sr-only">
    <w:name w:val="sr-only"/>
    <w:basedOn w:val="Fuentedeprrafopredeter"/>
    <w:rsid w:val="00FB4CC2"/>
  </w:style>
  <w:style w:type="paragraph" w:styleId="NormalWeb">
    <w:name w:val="Normal (Web)"/>
    <w:basedOn w:val="Normal"/>
    <w:uiPriority w:val="99"/>
    <w:semiHidden/>
    <w:unhideWhenUsed/>
    <w:rsid w:val="00FB4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related-news-txt">
    <w:name w:val="related-news-txt"/>
    <w:basedOn w:val="Fuentedeprrafopredeter"/>
    <w:rsid w:val="00FB4CC2"/>
  </w:style>
  <w:style w:type="paragraph" w:customStyle="1" w:styleId="related-news-content">
    <w:name w:val="related-news-content"/>
    <w:basedOn w:val="Normal"/>
    <w:rsid w:val="00FB4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gency">
    <w:name w:val="agency"/>
    <w:basedOn w:val="Fuentedeprrafopredeter"/>
    <w:rsid w:val="00EB7BF7"/>
  </w:style>
  <w:style w:type="character" w:customStyle="1" w:styleId="content-time">
    <w:name w:val="content-time"/>
    <w:basedOn w:val="Fuentedeprrafopredeter"/>
    <w:rsid w:val="00EB7BF7"/>
  </w:style>
  <w:style w:type="paragraph" w:customStyle="1" w:styleId="time">
    <w:name w:val="time"/>
    <w:basedOn w:val="Normal"/>
    <w:rsid w:val="0053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mments">
    <w:name w:val="comments"/>
    <w:basedOn w:val="Normal"/>
    <w:rsid w:val="0053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le">
    <w:name w:val="tile"/>
    <w:basedOn w:val="Normal"/>
    <w:rsid w:val="0053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ublicated">
    <w:name w:val="publicated"/>
    <w:basedOn w:val="Normal"/>
    <w:rsid w:val="0053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01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744">
              <w:marLeft w:val="0"/>
              <w:marRight w:val="0"/>
              <w:marTop w:val="75"/>
              <w:marBottom w:val="450"/>
              <w:divBdr>
                <w:top w:val="single" w:sz="6" w:space="7" w:color="C3C3C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1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2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5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3C3C3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891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23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88815">
                      <w:marLeft w:val="0"/>
                      <w:marRight w:val="240"/>
                      <w:marTop w:val="0"/>
                      <w:marBottom w:val="150"/>
                      <w:divBdr>
                        <w:top w:val="none" w:sz="0" w:space="0" w:color="auto"/>
                        <w:left w:val="single" w:sz="12" w:space="11" w:color="FFFFFF"/>
                        <w:bottom w:val="none" w:sz="0" w:space="0" w:color="auto"/>
                        <w:right w:val="single" w:sz="12" w:space="11" w:color="FFFFFF"/>
                      </w:divBdr>
                      <w:divsChild>
                        <w:div w:id="18089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9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1841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00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557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787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225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1F1F1"/>
                        <w:right w:val="none" w:sz="0" w:space="0" w:color="auto"/>
                      </w:divBdr>
                      <w:divsChild>
                        <w:div w:id="112573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072876">
                      <w:marLeft w:val="0"/>
                      <w:marRight w:val="0"/>
                      <w:marTop w:val="6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  <w:divsChild>
                        <w:div w:id="38630052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6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981D56"/>
                            <w:left w:val="none" w:sz="0" w:space="0" w:color="981D56"/>
                            <w:bottom w:val="none" w:sz="0" w:space="0" w:color="981D56"/>
                            <w:right w:val="none" w:sz="0" w:space="0" w:color="981D56"/>
                          </w:divBdr>
                        </w:div>
                      </w:divsChild>
                    </w:div>
                    <w:div w:id="13932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951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088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5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51862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2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14818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9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9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78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6848">
                          <w:marLeft w:val="225"/>
                          <w:marRight w:val="225"/>
                          <w:marTop w:val="0"/>
                          <w:marBottom w:val="270"/>
                          <w:divBdr>
                            <w:top w:val="single" w:sz="6" w:space="0" w:color="222222"/>
                            <w:left w:val="none" w:sz="0" w:space="0" w:color="auto"/>
                            <w:bottom w:val="single" w:sz="6" w:space="31" w:color="C4C4C4"/>
                            <w:right w:val="none" w:sz="0" w:space="0" w:color="auto"/>
                          </w:divBdr>
                          <w:divsChild>
                            <w:div w:id="136814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3682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11" w:color="F2F2F2"/>
                            <w:right w:val="none" w:sz="0" w:space="0" w:color="auto"/>
                          </w:divBdr>
                          <w:divsChild>
                            <w:div w:id="19375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2115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47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99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8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278650">
                  <w:marLeft w:val="0"/>
                  <w:marRight w:val="0"/>
                  <w:marTop w:val="0"/>
                  <w:marBottom w:val="0"/>
                  <w:divBdr>
                    <w:top w:val="single" w:sz="6" w:space="26" w:color="C4C4C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778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4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82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36" w:space="11" w:color="0066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93417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1702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36" w:space="11" w:color="0066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alud.es/pacientes/especial-coronavirus/nuevo-patron-contagio-covid_121114_102.html" TargetMode="External"/><Relationship Id="rId13" Type="http://schemas.openxmlformats.org/officeDocument/2006/relationships/hyperlink" Target="https://www.consalud.es/comunicados/ibuprofeno-amortigua-respuesta-inflamatoria-desproporcionada-desencadena-coronavirus_93340_102.html" TargetMode="External"/><Relationship Id="rId18" Type="http://schemas.openxmlformats.org/officeDocument/2006/relationships/hyperlink" Target="https://www.consalud.es/profesionales/retos-diabetes-actualizados-frenar-su-aumento_127844_102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alud.es/pacientes/especial-coronavirus/incertidumbre-inmunizacion-generalizada-ha-evolucionado-vacuna-covid-19_129102_102.html" TargetMode="External"/><Relationship Id="rId12" Type="http://schemas.openxmlformats.org/officeDocument/2006/relationships/hyperlink" Target="https://www.consalud.es/comunicados/eficacia-real-tratamientos-anticuerpos-monoclonales-covid-19_128460_102.html" TargetMode="External"/><Relationship Id="rId17" Type="http://schemas.openxmlformats.org/officeDocument/2006/relationships/hyperlink" Target="https://www.consalud.es/pacientes/degeneracion-macular-asociada-edad-es-factor-riesgo-desarrollar-covid-19_124671_102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consalud.es/comunicados/investigacion-oms-origenes-covid_126410_102.html" TargetMode="External"/><Relationship Id="rId5" Type="http://schemas.openxmlformats.org/officeDocument/2006/relationships/image" Target="media/image1.jfif"/><Relationship Id="rId15" Type="http://schemas.openxmlformats.org/officeDocument/2006/relationships/hyperlink" Target="https://www.consalud.es/tweet-saludable/pacientes-ventilacion-mecanica-no-invasiva-pandemia_101623_102.html" TargetMode="External"/><Relationship Id="rId10" Type="http://schemas.openxmlformats.org/officeDocument/2006/relationships/hyperlink" Target="https://www.consalud.es/autonomias/c-madrid/28m-madrid-supera-reto-capital-covid-19-deja-menores-listas-espera-quirurgicas_129028_102.html" TargetMode="External"/><Relationship Id="rId19" Type="http://schemas.openxmlformats.org/officeDocument/2006/relationships/hyperlink" Target="https://www.consalud.es/pacientes/especial-coronavirus/medidas-preventivas-vacunacion-covid-19-adherencia_128743_10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alud.es/pacientes/infecciosas/covid-datos-espana-abril-2023_129091_102.html" TargetMode="External"/><Relationship Id="rId14" Type="http://schemas.openxmlformats.org/officeDocument/2006/relationships/hyperlink" Target="https://www.consalud.es/profesionales/oms-saca-colores-espana-80-enfermeras-han-sufrido-burnout-pandemia_128492_102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2</cp:revision>
  <dcterms:created xsi:type="dcterms:W3CDTF">2023-04-27T06:31:00Z</dcterms:created>
  <dcterms:modified xsi:type="dcterms:W3CDTF">2023-04-27T06:31:00Z</dcterms:modified>
</cp:coreProperties>
</file>