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2EBC" w14:textId="77777777" w:rsidR="00CD1B23" w:rsidRDefault="00CD1B23" w:rsidP="00CD1B2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10EA6FA" wp14:editId="6A9B5011">
            <wp:extent cx="1922009" cy="1076325"/>
            <wp:effectExtent l="0" t="0" r="2540" b="0"/>
            <wp:docPr id="622752734" name="Imagen 5" descr="Interfaz de usuario gráfica, Texto, Aplicación, Chat o mensaje d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52734" name="Imagen 5" descr="Interfaz de usuario gráfica, Texto, Aplicación, Chat o mensaje de text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466" cy="108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863F7" w14:textId="02831805" w:rsidR="00CD1B23" w:rsidRPr="00CD1B23" w:rsidRDefault="00CD1B23" w:rsidP="00CD1B23">
      <w:pPr>
        <w:rPr>
          <w:b/>
          <w:bCs/>
          <w:sz w:val="28"/>
          <w:szCs w:val="28"/>
        </w:rPr>
      </w:pPr>
      <w:r w:rsidRPr="00CD1B23">
        <w:rPr>
          <w:b/>
          <w:bCs/>
          <w:sz w:val="28"/>
          <w:szCs w:val="28"/>
        </w:rPr>
        <w:t>Más de 900 mil euros directos al IBSAL para impulsar la investigación traslacional y sostener una masa crítica de investigadores</w:t>
      </w:r>
    </w:p>
    <w:p w14:paraId="75EFE0B4" w14:textId="77777777" w:rsidR="00CD1B23" w:rsidRPr="00CD1B23" w:rsidRDefault="00CD1B23" w:rsidP="00CD1B23">
      <w:r w:rsidRPr="00CD1B23">
        <w:t>El IBSAL fue creado en 2011 mediante un convenio entre la Consejería de Sanidad y la Universidad de Salamanca, con participación de la Gerencia Regional de Salud y la Fundación IESCYL</w:t>
      </w:r>
    </w:p>
    <w:p w14:paraId="4029670C" w14:textId="77777777" w:rsidR="00CD1B23" w:rsidRDefault="00CD1B23" w:rsidP="00CD1B23">
      <w:r w:rsidRPr="00CD1B23">
        <w:t>6 de junio de 2025</w:t>
      </w:r>
    </w:p>
    <w:p w14:paraId="2C34A86F" w14:textId="77777777" w:rsidR="00CD1B23" w:rsidRPr="00CD1B23" w:rsidRDefault="00CD1B23" w:rsidP="00CD1B23">
      <w:r w:rsidRPr="00CD1B23">
        <w:t>La Consejería de Sanidad de Castilla y León ha anunciado una considerable inversión de más de 1,3 millones de euros para potenciar la investigación biomédica en la comunidad. Estas subvenciones, parte del Plan Estratégico de Subvenciones 2024-2026 de la Consejería, tienen como objetivo principal financiar la investigación traslacional, respaldar a investigadores de reconocido prestigio y cubrir los gastos de las Unidades Técnicas de Gestión, cruciales para la administración y la transferencia de resultados.</w:t>
      </w:r>
    </w:p>
    <w:p w14:paraId="7B2E62D1" w14:textId="77777777" w:rsidR="00CD1B23" w:rsidRPr="00CD1B23" w:rsidRDefault="00CD1B23" w:rsidP="00CD1B23">
      <w:r w:rsidRPr="00CD1B23">
        <w:t>El Instituto de Investigación Biomédica de Salamanca (IBSAL) se posiciona como el principal beneficiario de esta iniciativa, con una asignación de 949.830 euros. Este instituto, que agrupa a destacados grupos de investigación biomédica, busca fortalecer su presencia en el espacio europeo de investigación. Creado en 2011 mediante un convenio entre la Consejería de Sanidad y la Universidad de Salamanca, con la participación de la Gerencia Regional de Salud y la Fundación IESCYL, el IBSAL incorporó a la Agencia Estatal del CSIC en 2012. Su Unidad Técnica de Gestión, dependiente de la Fundación IESCYL, es vital para el soporte económico-administrativo, de recursos humanos y de transferencia de resultados.</w:t>
      </w:r>
    </w:p>
    <w:p w14:paraId="38912ABA" w14:textId="1E8A905B" w:rsidR="00CD1B23" w:rsidRPr="00CD1B23" w:rsidRDefault="00CD1B23" w:rsidP="00CD1B23">
      <w:r w:rsidRPr="00CD1B23">
        <w:rPr>
          <w:highlight w:val="yellow"/>
        </w:rPr>
        <w:t>El Instituto de Investigación Biosanitaria de Valladolid (</w:t>
      </w:r>
      <w:proofErr w:type="spellStart"/>
      <w:r w:rsidRPr="00CD1B23">
        <w:rPr>
          <w:highlight w:val="yellow"/>
        </w:rPr>
        <w:t>IBioVALL</w:t>
      </w:r>
      <w:proofErr w:type="spellEnd"/>
      <w:r w:rsidRPr="00CD1B23">
        <w:rPr>
          <w:highlight w:val="yellow"/>
        </w:rPr>
        <w:t xml:space="preserve">), que incluye al Hospital Clínico Universitario de Valladolid, el Hospital de Medina del Campo, el Hospital Universitario Río </w:t>
      </w:r>
      <w:proofErr w:type="spellStart"/>
      <w:r w:rsidRPr="00CD1B23">
        <w:rPr>
          <w:highlight w:val="yellow"/>
        </w:rPr>
        <w:t>Hortega</w:t>
      </w:r>
      <w:proofErr w:type="spellEnd"/>
      <w:r w:rsidRPr="00CD1B23">
        <w:rPr>
          <w:highlight w:val="yellow"/>
        </w:rPr>
        <w:t>, centros de Atención Primaria de las Áreas de Salud de Valladolid y la Universidad de Valladolid, recibirá 300.000 euros. Su Unidad Técnica de Gestión, organizada y supervisada por el Instituto de Estudios de Ciencias de la Salud de Castilla y León, desempeña un papel fundamental en la gestión de la investigación.</w:t>
      </w:r>
    </w:p>
    <w:p w14:paraId="3420E2FC" w14:textId="77777777" w:rsidR="00CD1B23" w:rsidRPr="00CD1B23" w:rsidRDefault="00CD1B23" w:rsidP="00CD1B23">
      <w:r w:rsidRPr="00CD1B23">
        <w:t>Por último, el Instituto de Investigación Biosanitaria de León (</w:t>
      </w:r>
      <w:proofErr w:type="spellStart"/>
      <w:r w:rsidRPr="00CD1B23">
        <w:t>IBioLEÓN</w:t>
      </w:r>
      <w:proofErr w:type="spellEnd"/>
      <w:r w:rsidRPr="00CD1B23">
        <w:t xml:space="preserve">), establecido en abril de 2024 a través de un convenio entre la Consejería de </w:t>
      </w:r>
      <w:r w:rsidRPr="00CD1B23">
        <w:lastRenderedPageBreak/>
        <w:t xml:space="preserve">Sanidad, la Universidad de León y la Fundación del Instituto de Estudios de Ciencias de la Salud de Castilla y León, contará con 114.590 euros. La misma fundación se encargará de la organización y supervisión de la Unidad de Gestión del </w:t>
      </w:r>
      <w:proofErr w:type="spellStart"/>
      <w:r w:rsidRPr="00CD1B23">
        <w:t>IBioLEÓN</w:t>
      </w:r>
      <w:proofErr w:type="spellEnd"/>
      <w:r w:rsidRPr="00CD1B23">
        <w:t>, asegurando un inicio sólido para sus actividades investigadoras.</w:t>
      </w:r>
    </w:p>
    <w:p w14:paraId="6CB0A6F9" w14:textId="77777777" w:rsidR="00CD1B23" w:rsidRPr="00CD1B23" w:rsidRDefault="00CD1B23" w:rsidP="00CD1B23">
      <w:r w:rsidRPr="00CD1B23">
        <w:t>Estas subvenciones demuestran el firme compromiso de la Consejería de Sanidad con el avance de la investigación biomédica en Castilla y León, fomentando la excelencia científica y la mejora de la salud pública en la región.</w:t>
      </w:r>
    </w:p>
    <w:p w14:paraId="04FDC1CF" w14:textId="77777777" w:rsidR="00CD1B23" w:rsidRDefault="00CD1B23"/>
    <w:sectPr w:rsidR="00CD1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E2640"/>
    <w:multiLevelType w:val="multilevel"/>
    <w:tmpl w:val="4C56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52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23"/>
    <w:rsid w:val="00CD1B23"/>
    <w:rsid w:val="00E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AC46"/>
  <w15:chartTrackingRefBased/>
  <w15:docId w15:val="{487994DA-6AFC-4C3D-A20A-67329C2C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1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1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1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1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1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1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1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1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1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1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1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1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1B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1B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1B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1B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1B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1B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1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1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1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1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1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1B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1B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1B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1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1B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1B2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D1B2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1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63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5106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single" w:sz="6" w:space="5" w:color="EDEDED"/>
                            <w:left w:val="none" w:sz="0" w:space="0" w:color="auto"/>
                            <w:bottom w:val="single" w:sz="6" w:space="5" w:color="EDEDED"/>
                            <w:right w:val="none" w:sz="0" w:space="0" w:color="auto"/>
                          </w:divBdr>
                          <w:divsChild>
                            <w:div w:id="131668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DEDED"/>
                              </w:divBdr>
                              <w:divsChild>
                                <w:div w:id="94754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7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2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04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1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76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8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3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18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97196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single" w:sz="6" w:space="5" w:color="EDEDED"/>
                            <w:left w:val="none" w:sz="0" w:space="0" w:color="auto"/>
                            <w:bottom w:val="single" w:sz="6" w:space="5" w:color="EDEDED"/>
                            <w:right w:val="none" w:sz="0" w:space="0" w:color="auto"/>
                          </w:divBdr>
                          <w:divsChild>
                            <w:div w:id="57193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DEDED"/>
                              </w:divBdr>
                              <w:divsChild>
                                <w:div w:id="72772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63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9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4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7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577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13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7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5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García Frontiñán</dc:creator>
  <cp:keywords/>
  <dc:description/>
  <cp:lastModifiedBy>Eva García Frontiñán</cp:lastModifiedBy>
  <cp:revision>1</cp:revision>
  <dcterms:created xsi:type="dcterms:W3CDTF">2025-06-09T06:23:00Z</dcterms:created>
  <dcterms:modified xsi:type="dcterms:W3CDTF">2025-06-09T06:25:00Z</dcterms:modified>
</cp:coreProperties>
</file>