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C58" w:rsidRDefault="00922C58" w:rsidP="00922C58">
      <w:pPr>
        <w:shd w:val="clear" w:color="auto" w:fill="444444"/>
        <w:spacing w:after="210" w:line="810" w:lineRule="atLeast"/>
        <w:outlineLvl w:val="0"/>
        <w:rPr>
          <w:rFonts w:ascii="Barlow" w:eastAsia="Times New Roman" w:hAnsi="Barlow" w:cs="Times New Roman"/>
          <w:color w:val="FFFFFF"/>
          <w:kern w:val="36"/>
          <w:sz w:val="66"/>
          <w:szCs w:val="66"/>
          <w:lang w:eastAsia="es-ES"/>
        </w:rPr>
      </w:pPr>
      <w:r>
        <w:rPr>
          <w:rFonts w:ascii="Barlow" w:eastAsia="Times New Roman" w:hAnsi="Barlow" w:cs="Times New Roman"/>
          <w:noProof/>
          <w:color w:val="FFFFFF"/>
          <w:kern w:val="36"/>
          <w:sz w:val="66"/>
          <w:szCs w:val="66"/>
          <w:lang w:eastAsia="es-ES"/>
        </w:rPr>
        <w:drawing>
          <wp:inline distT="0" distB="0" distL="0" distR="0">
            <wp:extent cx="2828925" cy="1619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ceta Médica.png"/>
                    <pic:cNvPicPr/>
                  </pic:nvPicPr>
                  <pic:blipFill>
                    <a:blip r:embed="rId4">
                      <a:extLst>
                        <a:ext uri="{28A0092B-C50C-407E-A947-70E740481C1C}">
                          <a14:useLocalDpi xmlns:a14="http://schemas.microsoft.com/office/drawing/2010/main" val="0"/>
                        </a:ext>
                      </a:extLst>
                    </a:blip>
                    <a:stretch>
                      <a:fillRect/>
                    </a:stretch>
                  </pic:blipFill>
                  <pic:spPr>
                    <a:xfrm>
                      <a:off x="0" y="0"/>
                      <a:ext cx="2828925" cy="1619250"/>
                    </a:xfrm>
                    <a:prstGeom prst="rect">
                      <a:avLst/>
                    </a:prstGeom>
                  </pic:spPr>
                </pic:pic>
              </a:graphicData>
            </a:graphic>
          </wp:inline>
        </w:drawing>
      </w:r>
    </w:p>
    <w:p w:rsidR="00922C58" w:rsidRPr="00922C58" w:rsidRDefault="00922C58" w:rsidP="00922C58">
      <w:pPr>
        <w:shd w:val="clear" w:color="auto" w:fill="444444"/>
        <w:spacing w:after="210" w:line="810" w:lineRule="atLeast"/>
        <w:outlineLvl w:val="0"/>
        <w:rPr>
          <w:rFonts w:ascii="Barlow" w:eastAsia="Times New Roman" w:hAnsi="Barlow" w:cs="Times New Roman"/>
          <w:color w:val="FFFFFF"/>
          <w:kern w:val="36"/>
          <w:sz w:val="66"/>
          <w:szCs w:val="66"/>
          <w:lang w:eastAsia="es-ES"/>
        </w:rPr>
      </w:pPr>
      <w:bookmarkStart w:id="0" w:name="_GoBack"/>
      <w:bookmarkEnd w:id="0"/>
      <w:r w:rsidRPr="00922C58">
        <w:rPr>
          <w:rFonts w:ascii="Barlow" w:eastAsia="Times New Roman" w:hAnsi="Barlow" w:cs="Times New Roman"/>
          <w:color w:val="FFFFFF"/>
          <w:kern w:val="36"/>
          <w:sz w:val="66"/>
          <w:szCs w:val="66"/>
          <w:lang w:eastAsia="es-ES"/>
        </w:rPr>
        <w:t>La AEV crea el primer sello de calidad para las Unidades de Vacunación</w:t>
      </w:r>
    </w:p>
    <w:p w:rsidR="00922C58" w:rsidRPr="00922C58" w:rsidRDefault="00922C58" w:rsidP="00922C58">
      <w:pPr>
        <w:shd w:val="clear" w:color="auto" w:fill="444444"/>
        <w:spacing w:before="135" w:after="375" w:line="375" w:lineRule="atLeast"/>
        <w:rPr>
          <w:rFonts w:ascii="Arial" w:eastAsia="Times New Roman" w:hAnsi="Arial" w:cs="Arial"/>
          <w:i/>
          <w:iCs/>
          <w:color w:val="DDDDDD"/>
          <w:sz w:val="30"/>
          <w:szCs w:val="30"/>
          <w:lang w:eastAsia="es-ES"/>
        </w:rPr>
      </w:pPr>
      <w:proofErr w:type="spellStart"/>
      <w:r w:rsidRPr="00922C58">
        <w:rPr>
          <w:rFonts w:ascii="Arial" w:eastAsia="Times New Roman" w:hAnsi="Arial" w:cs="Arial"/>
          <w:i/>
          <w:iCs/>
          <w:color w:val="DDDDDD"/>
          <w:sz w:val="30"/>
          <w:szCs w:val="30"/>
          <w:lang w:eastAsia="es-ES"/>
        </w:rPr>
        <w:t>VaCredita</w:t>
      </w:r>
      <w:proofErr w:type="spellEnd"/>
      <w:r w:rsidRPr="00922C58">
        <w:rPr>
          <w:rFonts w:ascii="Arial" w:eastAsia="Times New Roman" w:hAnsi="Arial" w:cs="Arial"/>
          <w:i/>
          <w:iCs/>
          <w:color w:val="DDDDDD"/>
          <w:sz w:val="30"/>
          <w:szCs w:val="30"/>
          <w:lang w:eastAsia="es-ES"/>
        </w:rPr>
        <w:t xml:space="preserve"> busca contribuir a la mejora de la atención de los pacientes de riesgo en el proceso de vacunación</w:t>
      </w:r>
    </w:p>
    <w:p w:rsidR="00922C58" w:rsidRPr="00922C58" w:rsidRDefault="00922C58" w:rsidP="00922C58">
      <w:pPr>
        <w:shd w:val="clear" w:color="auto" w:fill="444444"/>
        <w:spacing w:after="0" w:line="240" w:lineRule="auto"/>
        <w:rPr>
          <w:rFonts w:ascii="Barlow" w:eastAsia="Times New Roman" w:hAnsi="Barlow" w:cs="Arial"/>
          <w:color w:val="FFFFFF"/>
          <w:sz w:val="20"/>
          <w:szCs w:val="20"/>
          <w:lang w:eastAsia="es-ES"/>
        </w:rPr>
      </w:pPr>
      <w:r w:rsidRPr="00922C58">
        <w:rPr>
          <w:rFonts w:ascii="Barlow" w:eastAsia="Times New Roman" w:hAnsi="Barlow" w:cs="Arial"/>
          <w:color w:val="FFFFFF"/>
          <w:sz w:val="20"/>
          <w:szCs w:val="20"/>
          <w:lang w:eastAsia="es-ES"/>
        </w:rPr>
        <w:t>Por</w:t>
      </w:r>
    </w:p>
    <w:p w:rsidR="00922C58" w:rsidRPr="00922C58" w:rsidRDefault="00922C58" w:rsidP="00922C58">
      <w:pPr>
        <w:shd w:val="clear" w:color="auto" w:fill="444444"/>
        <w:spacing w:after="0" w:line="240" w:lineRule="auto"/>
        <w:rPr>
          <w:rFonts w:ascii="Barlow" w:eastAsia="Times New Roman" w:hAnsi="Barlow" w:cs="Arial"/>
          <w:color w:val="FFFFFF"/>
          <w:sz w:val="20"/>
          <w:szCs w:val="20"/>
          <w:lang w:eastAsia="es-ES"/>
        </w:rPr>
      </w:pPr>
      <w:r w:rsidRPr="00922C58">
        <w:rPr>
          <w:rFonts w:ascii="Barlow" w:eastAsia="Times New Roman" w:hAnsi="Barlow" w:cs="Arial"/>
          <w:color w:val="FFFFFF"/>
          <w:sz w:val="20"/>
          <w:szCs w:val="20"/>
          <w:lang w:eastAsia="es-ES"/>
        </w:rPr>
        <w:t> </w:t>
      </w:r>
      <w:hyperlink r:id="rId5" w:history="1">
        <w:r w:rsidRPr="00922C58">
          <w:rPr>
            <w:rFonts w:ascii="Barlow" w:eastAsia="Times New Roman" w:hAnsi="Barlow" w:cs="Arial"/>
            <w:b/>
            <w:bCs/>
            <w:color w:val="FFFFFF"/>
            <w:sz w:val="20"/>
            <w:szCs w:val="20"/>
            <w:lang w:eastAsia="es-ES"/>
          </w:rPr>
          <w:t>Gaceta Médica</w:t>
        </w:r>
      </w:hyperlink>
    </w:p>
    <w:p w:rsidR="00922C58" w:rsidRPr="00922C58" w:rsidRDefault="00922C58" w:rsidP="00922C58">
      <w:pPr>
        <w:shd w:val="clear" w:color="auto" w:fill="444444"/>
        <w:spacing w:after="0" w:line="240" w:lineRule="auto"/>
        <w:rPr>
          <w:rFonts w:ascii="Barlow" w:eastAsia="Times New Roman" w:hAnsi="Barlow" w:cs="Arial"/>
          <w:color w:val="FFFFFF"/>
          <w:sz w:val="20"/>
          <w:szCs w:val="20"/>
          <w:lang w:eastAsia="es-ES"/>
        </w:rPr>
      </w:pPr>
      <w:r w:rsidRPr="00922C58">
        <w:rPr>
          <w:rFonts w:ascii="Barlow" w:eastAsia="Times New Roman" w:hAnsi="Barlow" w:cs="Arial"/>
          <w:color w:val="FFFFFF"/>
          <w:sz w:val="20"/>
          <w:szCs w:val="20"/>
          <w:lang w:eastAsia="es-ES"/>
        </w:rPr>
        <w:t> -</w:t>
      </w:r>
    </w:p>
    <w:p w:rsidR="00922C58" w:rsidRPr="00922C58" w:rsidRDefault="00922C58" w:rsidP="00922C58">
      <w:pPr>
        <w:shd w:val="clear" w:color="auto" w:fill="444444"/>
        <w:spacing w:line="240" w:lineRule="auto"/>
        <w:rPr>
          <w:rFonts w:ascii="Times New Roman" w:eastAsia="Times New Roman" w:hAnsi="Times New Roman" w:cs="Times New Roman"/>
          <w:color w:val="FFFFFF"/>
          <w:sz w:val="24"/>
          <w:szCs w:val="24"/>
          <w:lang w:eastAsia="es-ES"/>
        </w:rPr>
      </w:pPr>
      <w:r w:rsidRPr="00922C58">
        <w:rPr>
          <w:rFonts w:ascii="Arial" w:eastAsia="Times New Roman" w:hAnsi="Arial" w:cs="Arial"/>
          <w:color w:val="FFFFFF"/>
          <w:sz w:val="17"/>
          <w:szCs w:val="17"/>
          <w:lang w:eastAsia="es-ES"/>
        </w:rPr>
        <w:t>4 mayo 2023</w:t>
      </w:r>
      <w:r w:rsidRPr="00922C58">
        <w:rPr>
          <w:rFonts w:ascii="Arial" w:eastAsia="Times New Roman" w:hAnsi="Arial" w:cs="Arial"/>
          <w:color w:val="000000"/>
          <w:sz w:val="27"/>
          <w:szCs w:val="27"/>
          <w:lang w:eastAsia="es-ES"/>
        </w:rPr>
        <w:fldChar w:fldCharType="begin"/>
      </w:r>
      <w:r w:rsidRPr="00922C58">
        <w:rPr>
          <w:rFonts w:ascii="Arial" w:eastAsia="Times New Roman" w:hAnsi="Arial" w:cs="Arial"/>
          <w:color w:val="000000"/>
          <w:sz w:val="27"/>
          <w:szCs w:val="27"/>
          <w:lang w:eastAsia="es-ES"/>
        </w:rPr>
        <w:instrText xml:space="preserve"> HYPERLINK "https://www.facebook.com/sharer.php?u=https%3A%2F%2Fgacetamedica.com%2Fprofesion%2Fla-aev-crea-el-primer-sello-de-calidad-para-las-unidades-de-vacunacion%2F" \o "Facebook" </w:instrText>
      </w:r>
      <w:r w:rsidRPr="00922C58">
        <w:rPr>
          <w:rFonts w:ascii="Arial" w:eastAsia="Times New Roman" w:hAnsi="Arial" w:cs="Arial"/>
          <w:color w:val="000000"/>
          <w:sz w:val="27"/>
          <w:szCs w:val="27"/>
          <w:lang w:eastAsia="es-ES"/>
        </w:rPr>
        <w:fldChar w:fldCharType="separate"/>
      </w:r>
    </w:p>
    <w:p w:rsidR="00922C58" w:rsidRPr="00922C58" w:rsidRDefault="00922C58" w:rsidP="00922C58">
      <w:pPr>
        <w:spacing w:after="105" w:line="240" w:lineRule="auto"/>
        <w:ind w:left="-360" w:right="-360"/>
        <w:rPr>
          <w:rFonts w:ascii="Times New Roman" w:eastAsia="Times New Roman" w:hAnsi="Times New Roman" w:cs="Times New Roman"/>
          <w:color w:val="FF0000"/>
          <w:sz w:val="27"/>
          <w:szCs w:val="27"/>
          <w:lang w:eastAsia="es-ES"/>
        </w:rPr>
      </w:pPr>
      <w:r w:rsidRPr="00922C58">
        <w:rPr>
          <w:rFonts w:ascii="Arial" w:eastAsia="Times New Roman" w:hAnsi="Arial" w:cs="Arial"/>
          <w:color w:val="000000"/>
          <w:sz w:val="27"/>
          <w:szCs w:val="27"/>
          <w:lang w:eastAsia="es-ES"/>
        </w:rPr>
        <w:fldChar w:fldCharType="end"/>
      </w:r>
    </w:p>
    <w:p w:rsidR="00922C58" w:rsidRPr="00922C58" w:rsidRDefault="00922C58" w:rsidP="00922C58">
      <w:pPr>
        <w:spacing w:after="315" w:line="240" w:lineRule="auto"/>
        <w:rPr>
          <w:rFonts w:ascii="Helvetica" w:eastAsia="Times New Roman" w:hAnsi="Helvetica" w:cs="Times New Roman"/>
          <w:color w:val="000000"/>
          <w:sz w:val="27"/>
          <w:szCs w:val="27"/>
          <w:lang w:eastAsia="es-ES"/>
        </w:rPr>
      </w:pPr>
      <w:r w:rsidRPr="00922C58">
        <w:rPr>
          <w:rFonts w:ascii="Helvetica" w:eastAsia="Times New Roman" w:hAnsi="Helvetica" w:cs="Times New Roman"/>
          <w:color w:val="000000"/>
          <w:sz w:val="27"/>
          <w:szCs w:val="27"/>
          <w:lang w:eastAsia="es-ES"/>
        </w:rPr>
        <w:t xml:space="preserve">La Asociación Española de </w:t>
      </w:r>
      <w:proofErr w:type="spellStart"/>
      <w:r w:rsidRPr="00922C58">
        <w:rPr>
          <w:rFonts w:ascii="Helvetica" w:eastAsia="Times New Roman" w:hAnsi="Helvetica" w:cs="Times New Roman"/>
          <w:color w:val="000000"/>
          <w:sz w:val="27"/>
          <w:szCs w:val="27"/>
          <w:lang w:eastAsia="es-ES"/>
        </w:rPr>
        <w:t>Vacunología</w:t>
      </w:r>
      <w:proofErr w:type="spellEnd"/>
      <w:r w:rsidRPr="00922C58">
        <w:rPr>
          <w:rFonts w:ascii="Helvetica" w:eastAsia="Times New Roman" w:hAnsi="Helvetica" w:cs="Times New Roman"/>
          <w:color w:val="000000"/>
          <w:sz w:val="27"/>
          <w:szCs w:val="27"/>
          <w:lang w:eastAsia="es-ES"/>
        </w:rPr>
        <w:t xml:space="preserve"> (AEV), con el propósito de mejorar la atención de los pacientes en riesgo de vacunación, ha lanzado ’</w:t>
      </w:r>
      <w:proofErr w:type="spellStart"/>
      <w:r w:rsidRPr="00922C58">
        <w:rPr>
          <w:rFonts w:ascii="Helvetica" w:eastAsia="Times New Roman" w:hAnsi="Helvetica" w:cs="Times New Roman"/>
          <w:color w:val="000000"/>
          <w:sz w:val="27"/>
          <w:szCs w:val="27"/>
          <w:lang w:eastAsia="es-ES"/>
        </w:rPr>
        <w:t>VaCredita</w:t>
      </w:r>
      <w:proofErr w:type="spellEnd"/>
      <w:r w:rsidRPr="00922C58">
        <w:rPr>
          <w:rFonts w:ascii="Helvetica" w:eastAsia="Times New Roman" w:hAnsi="Helvetica" w:cs="Times New Roman"/>
          <w:color w:val="000000"/>
          <w:sz w:val="27"/>
          <w:szCs w:val="27"/>
          <w:lang w:eastAsia="es-ES"/>
        </w:rPr>
        <w:t>’, un sello de calidad para las Unidades de Vacunación de los Servicios de Medicina Preventiva y Salud Pública.</w:t>
      </w:r>
    </w:p>
    <w:p w:rsidR="00922C58" w:rsidRPr="00922C58" w:rsidRDefault="00922C58" w:rsidP="00922C58">
      <w:pPr>
        <w:spacing w:after="315" w:line="240" w:lineRule="auto"/>
        <w:rPr>
          <w:rFonts w:ascii="Barlow" w:eastAsia="Times New Roman" w:hAnsi="Barlow" w:cs="Times New Roman"/>
          <w:i/>
          <w:iCs/>
          <w:color w:val="35A2DB"/>
          <w:sz w:val="27"/>
          <w:szCs w:val="27"/>
          <w:lang w:eastAsia="es-ES"/>
        </w:rPr>
      </w:pPr>
      <w:proofErr w:type="spellStart"/>
      <w:r w:rsidRPr="00922C58">
        <w:rPr>
          <w:rFonts w:ascii="Barlow" w:eastAsia="Times New Roman" w:hAnsi="Barlow" w:cs="Times New Roman"/>
          <w:b/>
          <w:bCs/>
          <w:i/>
          <w:iCs/>
          <w:color w:val="35A2DB"/>
          <w:sz w:val="27"/>
          <w:szCs w:val="27"/>
          <w:lang w:eastAsia="es-ES"/>
        </w:rPr>
        <w:t>VaCredita</w:t>
      </w:r>
      <w:proofErr w:type="spellEnd"/>
      <w:r w:rsidRPr="00922C58">
        <w:rPr>
          <w:rFonts w:ascii="Barlow" w:eastAsia="Times New Roman" w:hAnsi="Barlow" w:cs="Times New Roman"/>
          <w:b/>
          <w:bCs/>
          <w:i/>
          <w:iCs/>
          <w:color w:val="35A2DB"/>
          <w:sz w:val="27"/>
          <w:szCs w:val="27"/>
          <w:lang w:eastAsia="es-ES"/>
        </w:rPr>
        <w:t xml:space="preserve"> pretende mejorar la atención de los pacientes en riesgo de vacunación</w:t>
      </w:r>
    </w:p>
    <w:p w:rsidR="00922C58" w:rsidRPr="00922C58" w:rsidRDefault="00922C58" w:rsidP="00922C58">
      <w:pPr>
        <w:spacing w:after="315" w:line="240" w:lineRule="auto"/>
        <w:rPr>
          <w:rFonts w:ascii="Helvetica" w:eastAsia="Times New Roman" w:hAnsi="Helvetica" w:cs="Times New Roman"/>
          <w:color w:val="000000"/>
          <w:sz w:val="27"/>
          <w:szCs w:val="27"/>
          <w:lang w:eastAsia="es-ES"/>
        </w:rPr>
      </w:pPr>
      <w:r w:rsidRPr="00922C58">
        <w:rPr>
          <w:rFonts w:ascii="Helvetica" w:eastAsia="Times New Roman" w:hAnsi="Helvetica" w:cs="Times New Roman"/>
          <w:color w:val="000000"/>
          <w:sz w:val="27"/>
          <w:szCs w:val="27"/>
          <w:lang w:eastAsia="es-ES"/>
        </w:rPr>
        <w:t xml:space="preserve">Este sello de calidad es totalmente pionero en España, y que se espera que se implemente en </w:t>
      </w:r>
      <w:proofErr w:type="gramStart"/>
      <w:r w:rsidRPr="00922C58">
        <w:rPr>
          <w:rFonts w:ascii="Helvetica" w:eastAsia="Times New Roman" w:hAnsi="Helvetica" w:cs="Times New Roman"/>
          <w:color w:val="000000"/>
          <w:sz w:val="27"/>
          <w:szCs w:val="27"/>
          <w:lang w:eastAsia="es-ES"/>
        </w:rPr>
        <w:t>la próximas semanas</w:t>
      </w:r>
      <w:proofErr w:type="gramEnd"/>
      <w:r w:rsidRPr="00922C58">
        <w:rPr>
          <w:rFonts w:ascii="Helvetica" w:eastAsia="Times New Roman" w:hAnsi="Helvetica" w:cs="Times New Roman"/>
          <w:color w:val="000000"/>
          <w:sz w:val="27"/>
          <w:szCs w:val="27"/>
          <w:lang w:eastAsia="es-ES"/>
        </w:rPr>
        <w:t xml:space="preserve"> mediante una fase de pilotaje en tres hospitales españoles: el hospital </w:t>
      </w:r>
      <w:r w:rsidRPr="00922C58">
        <w:rPr>
          <w:rFonts w:ascii="Helvetica" w:eastAsia="Times New Roman" w:hAnsi="Helvetica" w:cs="Times New Roman"/>
          <w:b/>
          <w:bCs/>
          <w:color w:val="000000"/>
          <w:sz w:val="27"/>
          <w:szCs w:val="27"/>
          <w:lang w:eastAsia="es-ES"/>
        </w:rPr>
        <w:t xml:space="preserve">Río </w:t>
      </w:r>
      <w:proofErr w:type="spellStart"/>
      <w:r w:rsidRPr="00922C58">
        <w:rPr>
          <w:rFonts w:ascii="Helvetica" w:eastAsia="Times New Roman" w:hAnsi="Helvetica" w:cs="Times New Roman"/>
          <w:b/>
          <w:bCs/>
          <w:color w:val="000000"/>
          <w:sz w:val="27"/>
          <w:szCs w:val="27"/>
          <w:lang w:eastAsia="es-ES"/>
        </w:rPr>
        <w:t>Hortega</w:t>
      </w:r>
      <w:proofErr w:type="spellEnd"/>
      <w:r w:rsidRPr="00922C58">
        <w:rPr>
          <w:rFonts w:ascii="Helvetica" w:eastAsia="Times New Roman" w:hAnsi="Helvetica" w:cs="Times New Roman"/>
          <w:b/>
          <w:bCs/>
          <w:color w:val="000000"/>
          <w:sz w:val="27"/>
          <w:szCs w:val="27"/>
          <w:lang w:eastAsia="es-ES"/>
        </w:rPr>
        <w:t xml:space="preserve"> de Valladolid</w:t>
      </w:r>
      <w:r w:rsidRPr="00922C58">
        <w:rPr>
          <w:rFonts w:ascii="Helvetica" w:eastAsia="Times New Roman" w:hAnsi="Helvetica" w:cs="Times New Roman"/>
          <w:color w:val="000000"/>
          <w:sz w:val="27"/>
          <w:szCs w:val="27"/>
          <w:lang w:eastAsia="es-ES"/>
        </w:rPr>
        <w:t>; el hospital </w:t>
      </w:r>
      <w:r w:rsidRPr="00922C58">
        <w:rPr>
          <w:rFonts w:ascii="Helvetica" w:eastAsia="Times New Roman" w:hAnsi="Helvetica" w:cs="Times New Roman"/>
          <w:b/>
          <w:bCs/>
          <w:color w:val="000000"/>
          <w:sz w:val="27"/>
          <w:szCs w:val="27"/>
          <w:lang w:eastAsia="es-ES"/>
        </w:rPr>
        <w:t xml:space="preserve">Marqués de </w:t>
      </w:r>
      <w:proofErr w:type="spellStart"/>
      <w:r w:rsidRPr="00922C58">
        <w:rPr>
          <w:rFonts w:ascii="Helvetica" w:eastAsia="Times New Roman" w:hAnsi="Helvetica" w:cs="Times New Roman"/>
          <w:b/>
          <w:bCs/>
          <w:color w:val="000000"/>
          <w:sz w:val="27"/>
          <w:szCs w:val="27"/>
          <w:lang w:eastAsia="es-ES"/>
        </w:rPr>
        <w:t>Valdecilla</w:t>
      </w:r>
      <w:proofErr w:type="spellEnd"/>
      <w:r w:rsidRPr="00922C58">
        <w:rPr>
          <w:rFonts w:ascii="Helvetica" w:eastAsia="Times New Roman" w:hAnsi="Helvetica" w:cs="Times New Roman"/>
          <w:b/>
          <w:bCs/>
          <w:color w:val="000000"/>
          <w:sz w:val="27"/>
          <w:szCs w:val="27"/>
          <w:lang w:eastAsia="es-ES"/>
        </w:rPr>
        <w:t xml:space="preserve"> de Santander</w:t>
      </w:r>
      <w:r w:rsidRPr="00922C58">
        <w:rPr>
          <w:rFonts w:ascii="Helvetica" w:eastAsia="Times New Roman" w:hAnsi="Helvetica" w:cs="Times New Roman"/>
          <w:color w:val="000000"/>
          <w:sz w:val="27"/>
          <w:szCs w:val="27"/>
          <w:lang w:eastAsia="es-ES"/>
        </w:rPr>
        <w:t>, y el hospital </w:t>
      </w:r>
      <w:r w:rsidRPr="00922C58">
        <w:rPr>
          <w:rFonts w:ascii="Helvetica" w:eastAsia="Times New Roman" w:hAnsi="Helvetica" w:cs="Times New Roman"/>
          <w:b/>
          <w:bCs/>
          <w:color w:val="000000"/>
          <w:sz w:val="27"/>
          <w:szCs w:val="27"/>
          <w:lang w:eastAsia="es-ES"/>
        </w:rPr>
        <w:t>Virgen de la Victoria</w:t>
      </w:r>
      <w:r w:rsidRPr="00922C58">
        <w:rPr>
          <w:rFonts w:ascii="Helvetica" w:eastAsia="Times New Roman" w:hAnsi="Helvetica" w:cs="Times New Roman"/>
          <w:color w:val="000000"/>
          <w:sz w:val="27"/>
          <w:szCs w:val="27"/>
          <w:lang w:eastAsia="es-ES"/>
        </w:rPr>
        <w:t> </w:t>
      </w:r>
      <w:r w:rsidRPr="00922C58">
        <w:rPr>
          <w:rFonts w:ascii="Helvetica" w:eastAsia="Times New Roman" w:hAnsi="Helvetica" w:cs="Times New Roman"/>
          <w:b/>
          <w:bCs/>
          <w:color w:val="000000"/>
          <w:sz w:val="27"/>
          <w:szCs w:val="27"/>
          <w:lang w:eastAsia="es-ES"/>
        </w:rPr>
        <w:t>de Málaga</w:t>
      </w:r>
      <w:r w:rsidRPr="00922C58">
        <w:rPr>
          <w:rFonts w:ascii="Helvetica" w:eastAsia="Times New Roman" w:hAnsi="Helvetica" w:cs="Times New Roman"/>
          <w:color w:val="000000"/>
          <w:sz w:val="27"/>
          <w:szCs w:val="27"/>
          <w:lang w:eastAsia="es-ES"/>
        </w:rPr>
        <w:t>. Estos centros han sido elegidos según sus características estructurales, a la experiencia en vacunación de pacientes inmunodeprimidos y a su distribución geográfica.</w:t>
      </w:r>
    </w:p>
    <w:p w:rsidR="00922C58" w:rsidRPr="00922C58" w:rsidRDefault="00922C58" w:rsidP="00922C58">
      <w:pPr>
        <w:spacing w:after="315" w:line="240" w:lineRule="auto"/>
        <w:rPr>
          <w:rFonts w:ascii="Helvetica" w:eastAsia="Times New Roman" w:hAnsi="Helvetica" w:cs="Times New Roman"/>
          <w:color w:val="000000"/>
          <w:sz w:val="27"/>
          <w:szCs w:val="27"/>
          <w:lang w:eastAsia="es-ES"/>
        </w:rPr>
      </w:pPr>
      <w:r w:rsidRPr="00922C58">
        <w:rPr>
          <w:rFonts w:ascii="Helvetica" w:eastAsia="Times New Roman" w:hAnsi="Helvetica" w:cs="Times New Roman"/>
          <w:color w:val="000000"/>
          <w:sz w:val="27"/>
          <w:szCs w:val="27"/>
          <w:lang w:eastAsia="es-ES"/>
        </w:rPr>
        <w:t xml:space="preserve">El proyecto </w:t>
      </w:r>
      <w:proofErr w:type="spellStart"/>
      <w:r w:rsidRPr="00922C58">
        <w:rPr>
          <w:rFonts w:ascii="Helvetica" w:eastAsia="Times New Roman" w:hAnsi="Helvetica" w:cs="Times New Roman"/>
          <w:color w:val="000000"/>
          <w:sz w:val="27"/>
          <w:szCs w:val="27"/>
          <w:lang w:eastAsia="es-ES"/>
        </w:rPr>
        <w:t>VaCredita</w:t>
      </w:r>
      <w:proofErr w:type="spellEnd"/>
      <w:r w:rsidRPr="00922C58">
        <w:rPr>
          <w:rFonts w:ascii="Helvetica" w:eastAsia="Times New Roman" w:hAnsi="Helvetica" w:cs="Times New Roman"/>
          <w:color w:val="000000"/>
          <w:sz w:val="27"/>
          <w:szCs w:val="27"/>
          <w:lang w:eastAsia="es-ES"/>
        </w:rPr>
        <w:t xml:space="preserve"> resulta fundamental en el mundo de la </w:t>
      </w:r>
      <w:proofErr w:type="spellStart"/>
      <w:r w:rsidRPr="00922C58">
        <w:rPr>
          <w:rFonts w:ascii="Helvetica" w:eastAsia="Times New Roman" w:hAnsi="Helvetica" w:cs="Times New Roman"/>
          <w:color w:val="000000"/>
          <w:sz w:val="27"/>
          <w:szCs w:val="27"/>
          <w:lang w:eastAsia="es-ES"/>
        </w:rPr>
        <w:t>vacunología</w:t>
      </w:r>
      <w:proofErr w:type="spellEnd"/>
      <w:r w:rsidRPr="00922C58">
        <w:rPr>
          <w:rFonts w:ascii="Helvetica" w:eastAsia="Times New Roman" w:hAnsi="Helvetica" w:cs="Times New Roman"/>
          <w:color w:val="000000"/>
          <w:sz w:val="27"/>
          <w:szCs w:val="27"/>
          <w:lang w:eastAsia="es-ES"/>
        </w:rPr>
        <w:t xml:space="preserve"> moderna, tal y como explican desde la AEV. </w:t>
      </w:r>
      <w:r w:rsidRPr="00922C58">
        <w:rPr>
          <w:rFonts w:ascii="Helvetica" w:eastAsia="Times New Roman" w:hAnsi="Helvetica" w:cs="Times New Roman"/>
          <w:color w:val="000000"/>
          <w:sz w:val="27"/>
          <w:szCs w:val="27"/>
          <w:lang w:eastAsia="es-ES"/>
        </w:rPr>
        <w:lastRenderedPageBreak/>
        <w:t>El </w:t>
      </w:r>
      <w:r w:rsidRPr="00922C58">
        <w:rPr>
          <w:rFonts w:ascii="Helvetica" w:eastAsia="Times New Roman" w:hAnsi="Helvetica" w:cs="Times New Roman"/>
          <w:b/>
          <w:bCs/>
          <w:color w:val="000000"/>
          <w:sz w:val="27"/>
          <w:szCs w:val="27"/>
          <w:lang w:eastAsia="es-ES"/>
        </w:rPr>
        <w:t>incremento de la esperanza de vida de la población, la definición de nuevos riesgos infecciosos y la autorización de nuevos fármacos</w:t>
      </w:r>
      <w:r w:rsidRPr="00922C58">
        <w:rPr>
          <w:rFonts w:ascii="Helvetica" w:eastAsia="Times New Roman" w:hAnsi="Helvetica" w:cs="Times New Roman"/>
          <w:color w:val="000000"/>
          <w:sz w:val="27"/>
          <w:szCs w:val="27"/>
          <w:lang w:eastAsia="es-ES"/>
        </w:rPr>
        <w:t xml:space="preserve"> inmunosupresores e </w:t>
      </w:r>
      <w:proofErr w:type="spellStart"/>
      <w:r w:rsidRPr="00922C58">
        <w:rPr>
          <w:rFonts w:ascii="Helvetica" w:eastAsia="Times New Roman" w:hAnsi="Helvetica" w:cs="Times New Roman"/>
          <w:color w:val="000000"/>
          <w:sz w:val="27"/>
          <w:szCs w:val="27"/>
          <w:lang w:eastAsia="es-ES"/>
        </w:rPr>
        <w:t>inmunomoduladores</w:t>
      </w:r>
      <w:proofErr w:type="spellEnd"/>
      <w:r w:rsidRPr="00922C58">
        <w:rPr>
          <w:rFonts w:ascii="Helvetica" w:eastAsia="Times New Roman" w:hAnsi="Helvetica" w:cs="Times New Roman"/>
          <w:color w:val="000000"/>
          <w:sz w:val="27"/>
          <w:szCs w:val="27"/>
          <w:lang w:eastAsia="es-ES"/>
        </w:rPr>
        <w:t xml:space="preserve"> hacen que los calendarios de vacunación sean cada vez más complejos.</w:t>
      </w:r>
    </w:p>
    <w:p w:rsidR="00922C58" w:rsidRPr="00922C58" w:rsidRDefault="00922C58" w:rsidP="00922C58">
      <w:pPr>
        <w:spacing w:before="405" w:after="255" w:line="450" w:lineRule="atLeast"/>
        <w:outlineLvl w:val="2"/>
        <w:rPr>
          <w:rFonts w:ascii="Roboto" w:eastAsia="Times New Roman" w:hAnsi="Roboto" w:cs="Times New Roman"/>
          <w:color w:val="111111"/>
          <w:sz w:val="33"/>
          <w:szCs w:val="33"/>
          <w:lang w:eastAsia="es-ES"/>
        </w:rPr>
      </w:pPr>
      <w:r w:rsidRPr="00922C58">
        <w:rPr>
          <w:rFonts w:ascii="Roboto" w:eastAsia="Times New Roman" w:hAnsi="Roboto" w:cs="Times New Roman"/>
          <w:b/>
          <w:bCs/>
          <w:color w:val="111111"/>
          <w:sz w:val="33"/>
          <w:szCs w:val="33"/>
          <w:lang w:eastAsia="es-ES"/>
        </w:rPr>
        <w:t>Actualización constante</w:t>
      </w:r>
    </w:p>
    <w:p w:rsidR="00922C58" w:rsidRPr="00922C58" w:rsidRDefault="00922C58" w:rsidP="00922C58">
      <w:pPr>
        <w:spacing w:after="315" w:line="240" w:lineRule="auto"/>
        <w:rPr>
          <w:rFonts w:ascii="Helvetica" w:eastAsia="Times New Roman" w:hAnsi="Helvetica" w:cs="Times New Roman"/>
          <w:color w:val="000000"/>
          <w:sz w:val="27"/>
          <w:szCs w:val="27"/>
          <w:lang w:eastAsia="es-ES"/>
        </w:rPr>
      </w:pPr>
      <w:r w:rsidRPr="00922C58">
        <w:rPr>
          <w:rFonts w:ascii="Helvetica" w:eastAsia="Times New Roman" w:hAnsi="Helvetica" w:cs="Times New Roman"/>
          <w:color w:val="000000"/>
          <w:sz w:val="27"/>
          <w:szCs w:val="27"/>
          <w:lang w:eastAsia="es-ES"/>
        </w:rPr>
        <w:t xml:space="preserve">Además, los últimos avances en el diseño y fabricación de vacunas instan a que los profesionales dedicados a la </w:t>
      </w:r>
      <w:proofErr w:type="spellStart"/>
      <w:r w:rsidRPr="00922C58">
        <w:rPr>
          <w:rFonts w:ascii="Helvetica" w:eastAsia="Times New Roman" w:hAnsi="Helvetica" w:cs="Times New Roman"/>
          <w:color w:val="000000"/>
          <w:sz w:val="27"/>
          <w:szCs w:val="27"/>
          <w:lang w:eastAsia="es-ES"/>
        </w:rPr>
        <w:t>Vacunología</w:t>
      </w:r>
      <w:proofErr w:type="spellEnd"/>
      <w:r w:rsidRPr="00922C58">
        <w:rPr>
          <w:rFonts w:ascii="Helvetica" w:eastAsia="Times New Roman" w:hAnsi="Helvetica" w:cs="Times New Roman"/>
          <w:color w:val="000000"/>
          <w:sz w:val="27"/>
          <w:szCs w:val="27"/>
          <w:lang w:eastAsia="es-ES"/>
        </w:rPr>
        <w:t xml:space="preserve"> mantengan </w:t>
      </w:r>
      <w:r w:rsidRPr="00922C58">
        <w:rPr>
          <w:rFonts w:ascii="Helvetica" w:eastAsia="Times New Roman" w:hAnsi="Helvetica" w:cs="Times New Roman"/>
          <w:b/>
          <w:bCs/>
          <w:color w:val="000000"/>
          <w:sz w:val="27"/>
          <w:szCs w:val="27"/>
          <w:lang w:eastAsia="es-ES"/>
        </w:rPr>
        <w:t>un nivel constante de actualización</w:t>
      </w:r>
      <w:r w:rsidRPr="00922C58">
        <w:rPr>
          <w:rFonts w:ascii="Helvetica" w:eastAsia="Times New Roman" w:hAnsi="Helvetica" w:cs="Times New Roman"/>
          <w:color w:val="000000"/>
          <w:sz w:val="27"/>
          <w:szCs w:val="27"/>
          <w:lang w:eastAsia="es-ES"/>
        </w:rPr>
        <w:t xml:space="preserve"> de conocimientos necesarios para ofrecer la mejor calidad asistencial. “Ante esta realidad, el proyecto </w:t>
      </w:r>
      <w:proofErr w:type="spellStart"/>
      <w:r w:rsidRPr="00922C58">
        <w:rPr>
          <w:rFonts w:ascii="Helvetica" w:eastAsia="Times New Roman" w:hAnsi="Helvetica" w:cs="Times New Roman"/>
          <w:color w:val="000000"/>
          <w:sz w:val="27"/>
          <w:szCs w:val="27"/>
          <w:lang w:eastAsia="es-ES"/>
        </w:rPr>
        <w:t>VaCredita</w:t>
      </w:r>
      <w:proofErr w:type="spellEnd"/>
      <w:r w:rsidRPr="00922C58">
        <w:rPr>
          <w:rFonts w:ascii="Helvetica" w:eastAsia="Times New Roman" w:hAnsi="Helvetica" w:cs="Times New Roman"/>
          <w:color w:val="000000"/>
          <w:sz w:val="27"/>
          <w:szCs w:val="27"/>
          <w:lang w:eastAsia="es-ES"/>
        </w:rPr>
        <w:t xml:space="preserve"> define indicadores y estándares con los que se pretende homogeneizar el proceso asistencial de vacunación del paciente de riesgo buscando siempre la excelencia en su atención y seguimiento”, ha señalado Jaime Pérez, presidente de la AEV.</w:t>
      </w:r>
    </w:p>
    <w:p w:rsidR="00922C58" w:rsidRPr="00922C58" w:rsidRDefault="00922C58" w:rsidP="00922C58">
      <w:pPr>
        <w:spacing w:after="315" w:line="240" w:lineRule="auto"/>
        <w:rPr>
          <w:rFonts w:ascii="Helvetica" w:eastAsia="Times New Roman" w:hAnsi="Helvetica" w:cs="Times New Roman"/>
          <w:color w:val="000000"/>
          <w:sz w:val="27"/>
          <w:szCs w:val="27"/>
          <w:lang w:eastAsia="es-ES"/>
        </w:rPr>
      </w:pPr>
      <w:r w:rsidRPr="00922C58">
        <w:rPr>
          <w:rFonts w:ascii="Helvetica" w:eastAsia="Times New Roman" w:hAnsi="Helvetica" w:cs="Times New Roman"/>
          <w:color w:val="000000"/>
          <w:sz w:val="27"/>
          <w:szCs w:val="27"/>
          <w:lang w:eastAsia="es-ES"/>
        </w:rPr>
        <w:t>De hecho, se espera que una vez superado el pilotaje se comenzará a trabajar </w:t>
      </w:r>
      <w:r w:rsidRPr="00922C58">
        <w:rPr>
          <w:rFonts w:ascii="Helvetica" w:eastAsia="Times New Roman" w:hAnsi="Helvetica" w:cs="Times New Roman"/>
          <w:b/>
          <w:bCs/>
          <w:color w:val="000000"/>
          <w:sz w:val="27"/>
          <w:szCs w:val="27"/>
          <w:lang w:eastAsia="es-ES"/>
        </w:rPr>
        <w:t>en la convocatoria para que el resto de Unidades puedan solicitar</w:t>
      </w:r>
      <w:r w:rsidRPr="00922C58">
        <w:rPr>
          <w:rFonts w:ascii="Helvetica" w:eastAsia="Times New Roman" w:hAnsi="Helvetica" w:cs="Times New Roman"/>
          <w:color w:val="000000"/>
          <w:sz w:val="27"/>
          <w:szCs w:val="27"/>
          <w:lang w:eastAsia="es-ES"/>
        </w:rPr>
        <w:t> ser evaluadas siguiendo el Modelo propuesto y cuya acreditación tendrá una vigencia de tres años, pudiendo renovarse posteriormente.</w:t>
      </w:r>
    </w:p>
    <w:p w:rsidR="00922C58" w:rsidRPr="00922C58" w:rsidRDefault="00922C58" w:rsidP="00922C58">
      <w:pPr>
        <w:spacing w:after="315" w:line="240" w:lineRule="auto"/>
        <w:jc w:val="center"/>
        <w:rPr>
          <w:rFonts w:ascii="Barlow" w:eastAsia="Times New Roman" w:hAnsi="Barlow" w:cs="Times New Roman"/>
          <w:i/>
          <w:iCs/>
          <w:color w:val="35A2DB"/>
          <w:sz w:val="27"/>
          <w:szCs w:val="27"/>
          <w:lang w:eastAsia="es-ES"/>
        </w:rPr>
      </w:pPr>
      <w:r w:rsidRPr="00922C58">
        <w:rPr>
          <w:rFonts w:ascii="Barlow" w:eastAsia="Times New Roman" w:hAnsi="Barlow" w:cs="Times New Roman"/>
          <w:b/>
          <w:bCs/>
          <w:i/>
          <w:iCs/>
          <w:color w:val="35A2DB"/>
          <w:sz w:val="27"/>
          <w:szCs w:val="27"/>
          <w:lang w:eastAsia="es-ES"/>
        </w:rPr>
        <w:t>Este sello de calidad garantiza que una entidad está capacitada o es competente para realizar actividades de vacunación</w:t>
      </w:r>
    </w:p>
    <w:p w:rsidR="00922C58" w:rsidRPr="00922C58" w:rsidRDefault="00922C58" w:rsidP="00922C58">
      <w:pPr>
        <w:spacing w:after="315" w:line="240" w:lineRule="auto"/>
        <w:rPr>
          <w:rFonts w:ascii="Helvetica" w:eastAsia="Times New Roman" w:hAnsi="Helvetica" w:cs="Times New Roman"/>
          <w:color w:val="000000"/>
          <w:sz w:val="27"/>
          <w:szCs w:val="27"/>
          <w:lang w:eastAsia="es-ES"/>
        </w:rPr>
      </w:pPr>
      <w:r w:rsidRPr="00922C58">
        <w:rPr>
          <w:rFonts w:ascii="Helvetica" w:eastAsia="Times New Roman" w:hAnsi="Helvetica" w:cs="Times New Roman"/>
          <w:color w:val="000000"/>
          <w:sz w:val="27"/>
          <w:szCs w:val="27"/>
          <w:lang w:eastAsia="es-ES"/>
        </w:rPr>
        <w:t>Es más, este sello de calidad garantiza que una entidad está capacitada o es competente para realizar actividades de vacunación de acuerdo con una serie de estándares definidos previamente. Son un total de 27 criterios de calidad y 48 estándares que evalúan tres ámbitos: Estructura, Procesos y Resultados.</w:t>
      </w:r>
    </w:p>
    <w:p w:rsidR="00922C58" w:rsidRPr="00922C58" w:rsidRDefault="00922C58" w:rsidP="00922C58">
      <w:pPr>
        <w:spacing w:before="405" w:after="255" w:line="450" w:lineRule="atLeast"/>
        <w:outlineLvl w:val="2"/>
        <w:rPr>
          <w:rFonts w:ascii="Roboto" w:eastAsia="Times New Roman" w:hAnsi="Roboto" w:cs="Times New Roman"/>
          <w:color w:val="111111"/>
          <w:sz w:val="33"/>
          <w:szCs w:val="33"/>
          <w:lang w:eastAsia="es-ES"/>
        </w:rPr>
      </w:pPr>
      <w:r w:rsidRPr="00922C58">
        <w:rPr>
          <w:rFonts w:ascii="Roboto" w:eastAsia="Times New Roman" w:hAnsi="Roboto" w:cs="Times New Roman"/>
          <w:b/>
          <w:bCs/>
          <w:color w:val="111111"/>
          <w:sz w:val="33"/>
          <w:szCs w:val="33"/>
          <w:lang w:eastAsia="es-ES"/>
        </w:rPr>
        <w:t>Mejora de la calidad asistencial</w:t>
      </w:r>
    </w:p>
    <w:p w:rsidR="00922C58" w:rsidRPr="00922C58" w:rsidRDefault="00922C58" w:rsidP="00922C58">
      <w:pPr>
        <w:spacing w:after="315" w:line="240" w:lineRule="auto"/>
        <w:rPr>
          <w:rFonts w:ascii="Helvetica" w:eastAsia="Times New Roman" w:hAnsi="Helvetica" w:cs="Times New Roman"/>
          <w:color w:val="000000"/>
          <w:sz w:val="27"/>
          <w:szCs w:val="27"/>
          <w:lang w:eastAsia="es-ES"/>
        </w:rPr>
      </w:pPr>
      <w:r w:rsidRPr="00922C58">
        <w:rPr>
          <w:rFonts w:ascii="Helvetica" w:eastAsia="Times New Roman" w:hAnsi="Helvetica" w:cs="Times New Roman"/>
          <w:color w:val="000000"/>
          <w:sz w:val="27"/>
          <w:szCs w:val="27"/>
          <w:lang w:eastAsia="es-ES"/>
        </w:rPr>
        <w:t>Mediante este modelo de acreditación, la Asociación busca contribuir a </w:t>
      </w:r>
      <w:r w:rsidRPr="00922C58">
        <w:rPr>
          <w:rFonts w:ascii="Helvetica" w:eastAsia="Times New Roman" w:hAnsi="Helvetica" w:cs="Times New Roman"/>
          <w:b/>
          <w:bCs/>
          <w:color w:val="000000"/>
          <w:sz w:val="27"/>
          <w:szCs w:val="27"/>
          <w:lang w:eastAsia="es-ES"/>
        </w:rPr>
        <w:t>mejorar la calidad asistencial de los pacientes </w:t>
      </w:r>
      <w:r w:rsidRPr="00922C58">
        <w:rPr>
          <w:rFonts w:ascii="Helvetica" w:eastAsia="Times New Roman" w:hAnsi="Helvetica" w:cs="Times New Roman"/>
          <w:color w:val="000000"/>
          <w:sz w:val="27"/>
          <w:szCs w:val="27"/>
          <w:lang w:eastAsia="es-ES"/>
        </w:rPr>
        <w:t>que hacen uso de las Unidades de Vacunación de los Servicios de Medicina Preventiva y Salud Pública. En definitiva, asegurar una atención adecuada en el ámbito de la vacunación y ofrecer al paciente el mejor servicio posible.</w:t>
      </w:r>
    </w:p>
    <w:p w:rsidR="00922C58" w:rsidRPr="00922C58" w:rsidRDefault="00922C58" w:rsidP="00922C58">
      <w:pPr>
        <w:spacing w:after="315" w:line="240" w:lineRule="auto"/>
        <w:jc w:val="center"/>
        <w:rPr>
          <w:rFonts w:ascii="Barlow" w:eastAsia="Times New Roman" w:hAnsi="Barlow" w:cs="Times New Roman"/>
          <w:i/>
          <w:iCs/>
          <w:color w:val="35A2DB"/>
          <w:sz w:val="27"/>
          <w:szCs w:val="27"/>
          <w:lang w:eastAsia="es-ES"/>
        </w:rPr>
      </w:pPr>
      <w:r w:rsidRPr="00922C58">
        <w:rPr>
          <w:rFonts w:ascii="Barlow" w:eastAsia="Times New Roman" w:hAnsi="Barlow" w:cs="Times New Roman"/>
          <w:b/>
          <w:bCs/>
          <w:i/>
          <w:iCs/>
          <w:color w:val="35A2DB"/>
          <w:sz w:val="27"/>
          <w:szCs w:val="27"/>
          <w:lang w:eastAsia="es-ES"/>
        </w:rPr>
        <w:t xml:space="preserve">EL sello evaluará los recursos humanos, materiales, </w:t>
      </w:r>
      <w:proofErr w:type="spellStart"/>
      <w:r w:rsidRPr="00922C58">
        <w:rPr>
          <w:rFonts w:ascii="Barlow" w:eastAsia="Times New Roman" w:hAnsi="Barlow" w:cs="Times New Roman"/>
          <w:b/>
          <w:bCs/>
          <w:i/>
          <w:iCs/>
          <w:color w:val="35A2DB"/>
          <w:sz w:val="27"/>
          <w:szCs w:val="27"/>
          <w:lang w:eastAsia="es-ES"/>
        </w:rPr>
        <w:t>informaticos</w:t>
      </w:r>
      <w:proofErr w:type="spellEnd"/>
      <w:r w:rsidRPr="00922C58">
        <w:rPr>
          <w:rFonts w:ascii="Barlow" w:eastAsia="Times New Roman" w:hAnsi="Barlow" w:cs="Times New Roman"/>
          <w:b/>
          <w:bCs/>
          <w:i/>
          <w:iCs/>
          <w:color w:val="35A2DB"/>
          <w:sz w:val="27"/>
          <w:szCs w:val="27"/>
          <w:lang w:eastAsia="es-ES"/>
        </w:rPr>
        <w:t xml:space="preserve"> y formativos</w:t>
      </w:r>
    </w:p>
    <w:p w:rsidR="00922C58" w:rsidRPr="00922C58" w:rsidRDefault="00922C58" w:rsidP="00922C58">
      <w:pPr>
        <w:spacing w:after="315" w:line="240" w:lineRule="auto"/>
        <w:rPr>
          <w:rFonts w:ascii="Helvetica" w:eastAsia="Times New Roman" w:hAnsi="Helvetica" w:cs="Times New Roman"/>
          <w:color w:val="000000"/>
          <w:sz w:val="27"/>
          <w:szCs w:val="27"/>
          <w:lang w:eastAsia="es-ES"/>
        </w:rPr>
      </w:pPr>
      <w:r w:rsidRPr="00922C58">
        <w:rPr>
          <w:rFonts w:ascii="Helvetica" w:eastAsia="Times New Roman" w:hAnsi="Helvetica" w:cs="Times New Roman"/>
          <w:color w:val="000000"/>
          <w:sz w:val="27"/>
          <w:szCs w:val="27"/>
          <w:lang w:eastAsia="es-ES"/>
        </w:rPr>
        <w:lastRenderedPageBreak/>
        <w:t>De hecho, entre los aspectos que el sello evaluará se encuentran los </w:t>
      </w:r>
      <w:r w:rsidRPr="00922C58">
        <w:rPr>
          <w:rFonts w:ascii="Helvetica" w:eastAsia="Times New Roman" w:hAnsi="Helvetica" w:cs="Times New Roman"/>
          <w:b/>
          <w:bCs/>
          <w:color w:val="000000"/>
          <w:sz w:val="27"/>
          <w:szCs w:val="27"/>
          <w:lang w:eastAsia="es-ES"/>
        </w:rPr>
        <w:t>recursos humanos, materiales, informáticos y formativos</w:t>
      </w:r>
      <w:r w:rsidRPr="00922C58">
        <w:rPr>
          <w:rFonts w:ascii="Helvetica" w:eastAsia="Times New Roman" w:hAnsi="Helvetica" w:cs="Times New Roman"/>
          <w:color w:val="000000"/>
          <w:sz w:val="27"/>
          <w:szCs w:val="27"/>
          <w:lang w:eastAsia="es-ES"/>
        </w:rPr>
        <w:t> con los que deben contar las Unidades de Vacunación, así como los elementos necesarios para el </w:t>
      </w:r>
      <w:r w:rsidRPr="00922C58">
        <w:rPr>
          <w:rFonts w:ascii="Helvetica" w:eastAsia="Times New Roman" w:hAnsi="Helvetica" w:cs="Times New Roman"/>
          <w:b/>
          <w:bCs/>
          <w:color w:val="000000"/>
          <w:sz w:val="27"/>
          <w:szCs w:val="27"/>
          <w:lang w:eastAsia="es-ES"/>
        </w:rPr>
        <w:t xml:space="preserve">mantenimiento de la logística </w:t>
      </w:r>
      <w:proofErr w:type="spellStart"/>
      <w:r w:rsidRPr="00922C58">
        <w:rPr>
          <w:rFonts w:ascii="Helvetica" w:eastAsia="Times New Roman" w:hAnsi="Helvetica" w:cs="Times New Roman"/>
          <w:b/>
          <w:bCs/>
          <w:color w:val="000000"/>
          <w:sz w:val="27"/>
          <w:szCs w:val="27"/>
          <w:lang w:eastAsia="es-ES"/>
        </w:rPr>
        <w:t>vacunal</w:t>
      </w:r>
      <w:proofErr w:type="spellEnd"/>
      <w:r w:rsidRPr="00922C58">
        <w:rPr>
          <w:rFonts w:ascii="Helvetica" w:eastAsia="Times New Roman" w:hAnsi="Helvetica" w:cs="Times New Roman"/>
          <w:color w:val="000000"/>
          <w:sz w:val="27"/>
          <w:szCs w:val="27"/>
          <w:lang w:eastAsia="es-ES"/>
        </w:rPr>
        <w:t>, el Plan General de la Unidad, junto con los </w:t>
      </w:r>
      <w:r w:rsidRPr="00922C58">
        <w:rPr>
          <w:rFonts w:ascii="Helvetica" w:eastAsia="Times New Roman" w:hAnsi="Helvetica" w:cs="Times New Roman"/>
          <w:b/>
          <w:bCs/>
          <w:color w:val="000000"/>
          <w:sz w:val="27"/>
          <w:szCs w:val="27"/>
          <w:lang w:eastAsia="es-ES"/>
        </w:rPr>
        <w:t>planes de formación y acogida, la estrategia de comunicación interna y externa</w:t>
      </w:r>
      <w:r w:rsidRPr="00922C58">
        <w:rPr>
          <w:rFonts w:ascii="Helvetica" w:eastAsia="Times New Roman" w:hAnsi="Helvetica" w:cs="Times New Roman"/>
          <w:color w:val="000000"/>
          <w:sz w:val="27"/>
          <w:szCs w:val="27"/>
          <w:lang w:eastAsia="es-ES"/>
        </w:rPr>
        <w:t>, de gestión, o los procesos y protocolos de los que se debe disponer, entre otros parámetros. Además, el modelo cuenta con una descripción de los indicadores de resultados de actividad que cada Unidad deberá recoger en su Cuadro de Mando Integral.</w:t>
      </w:r>
    </w:p>
    <w:p w:rsidR="00922C58" w:rsidRPr="00922C58" w:rsidRDefault="00922C58" w:rsidP="00922C58">
      <w:pPr>
        <w:spacing w:before="405" w:after="255" w:line="450" w:lineRule="atLeast"/>
        <w:outlineLvl w:val="2"/>
        <w:rPr>
          <w:rFonts w:ascii="Roboto" w:eastAsia="Times New Roman" w:hAnsi="Roboto" w:cs="Times New Roman"/>
          <w:color w:val="111111"/>
          <w:sz w:val="33"/>
          <w:szCs w:val="33"/>
          <w:lang w:eastAsia="es-ES"/>
        </w:rPr>
      </w:pPr>
      <w:r w:rsidRPr="00922C58">
        <w:rPr>
          <w:rFonts w:ascii="Roboto" w:eastAsia="Times New Roman" w:hAnsi="Roboto" w:cs="Times New Roman"/>
          <w:b/>
          <w:bCs/>
          <w:color w:val="111111"/>
          <w:sz w:val="33"/>
          <w:szCs w:val="33"/>
          <w:lang w:eastAsia="es-ES"/>
        </w:rPr>
        <w:t>Comité Asesor y un Panel de Expertos</w:t>
      </w:r>
    </w:p>
    <w:p w:rsidR="00922C58" w:rsidRPr="00922C58" w:rsidRDefault="00922C58" w:rsidP="00922C58">
      <w:pPr>
        <w:spacing w:after="315" w:line="240" w:lineRule="auto"/>
        <w:rPr>
          <w:rFonts w:ascii="Helvetica" w:eastAsia="Times New Roman" w:hAnsi="Helvetica" w:cs="Times New Roman"/>
          <w:color w:val="000000"/>
          <w:sz w:val="27"/>
          <w:szCs w:val="27"/>
          <w:lang w:eastAsia="es-ES"/>
        </w:rPr>
      </w:pPr>
      <w:r w:rsidRPr="00922C58">
        <w:rPr>
          <w:rFonts w:ascii="Helvetica" w:eastAsia="Times New Roman" w:hAnsi="Helvetica" w:cs="Times New Roman"/>
          <w:color w:val="000000"/>
          <w:sz w:val="27"/>
          <w:szCs w:val="27"/>
          <w:lang w:eastAsia="es-ES"/>
        </w:rPr>
        <w:t>No obstante, para el desarrollo del producto, la AEV ha contado con la colaboración de un Comité Asesor y un Panel de Expertos formado por: </w:t>
      </w:r>
      <w:r w:rsidRPr="00922C58">
        <w:rPr>
          <w:rFonts w:ascii="Helvetica" w:eastAsia="Times New Roman" w:hAnsi="Helvetica" w:cs="Times New Roman"/>
          <w:b/>
          <w:bCs/>
          <w:color w:val="000000"/>
          <w:sz w:val="27"/>
          <w:szCs w:val="27"/>
          <w:lang w:eastAsia="es-ES"/>
        </w:rPr>
        <w:t>Pilar Arrazola</w:t>
      </w:r>
      <w:r w:rsidRPr="00922C58">
        <w:rPr>
          <w:rFonts w:ascii="Helvetica" w:eastAsia="Times New Roman" w:hAnsi="Helvetica" w:cs="Times New Roman"/>
          <w:color w:val="000000"/>
          <w:sz w:val="27"/>
          <w:szCs w:val="27"/>
          <w:lang w:eastAsia="es-ES"/>
        </w:rPr>
        <w:t>, del Servicio de Medicina Preventiva del Hospital Universitario 12 de Octubre; </w:t>
      </w:r>
      <w:r w:rsidRPr="00922C58">
        <w:rPr>
          <w:rFonts w:ascii="Helvetica" w:eastAsia="Times New Roman" w:hAnsi="Helvetica" w:cs="Times New Roman"/>
          <w:b/>
          <w:bCs/>
          <w:color w:val="000000"/>
          <w:sz w:val="27"/>
          <w:szCs w:val="27"/>
          <w:lang w:eastAsia="es-ES"/>
        </w:rPr>
        <w:t xml:space="preserve">Magda </w:t>
      </w:r>
      <w:proofErr w:type="spellStart"/>
      <w:r w:rsidRPr="00922C58">
        <w:rPr>
          <w:rFonts w:ascii="Helvetica" w:eastAsia="Times New Roman" w:hAnsi="Helvetica" w:cs="Times New Roman"/>
          <w:b/>
          <w:bCs/>
          <w:color w:val="000000"/>
          <w:sz w:val="27"/>
          <w:szCs w:val="27"/>
          <w:lang w:eastAsia="es-ES"/>
        </w:rPr>
        <w:t>Campins</w:t>
      </w:r>
      <w:proofErr w:type="spellEnd"/>
      <w:r w:rsidRPr="00922C58">
        <w:rPr>
          <w:rFonts w:ascii="Helvetica" w:eastAsia="Times New Roman" w:hAnsi="Helvetica" w:cs="Times New Roman"/>
          <w:color w:val="000000"/>
          <w:sz w:val="27"/>
          <w:szCs w:val="27"/>
          <w:lang w:eastAsia="es-ES"/>
        </w:rPr>
        <w:t xml:space="preserve">, investigadora del grupo de Epidemiología y Salud Pública del </w:t>
      </w:r>
      <w:proofErr w:type="spellStart"/>
      <w:r w:rsidRPr="00922C58">
        <w:rPr>
          <w:rFonts w:ascii="Helvetica" w:eastAsia="Times New Roman" w:hAnsi="Helvetica" w:cs="Times New Roman"/>
          <w:color w:val="000000"/>
          <w:sz w:val="27"/>
          <w:szCs w:val="27"/>
          <w:lang w:eastAsia="es-ES"/>
        </w:rPr>
        <w:t>Vall</w:t>
      </w:r>
      <w:proofErr w:type="spellEnd"/>
      <w:r w:rsidRPr="00922C58">
        <w:rPr>
          <w:rFonts w:ascii="Helvetica" w:eastAsia="Times New Roman" w:hAnsi="Helvetica" w:cs="Times New Roman"/>
          <w:color w:val="000000"/>
          <w:sz w:val="27"/>
          <w:szCs w:val="27"/>
          <w:lang w:eastAsia="es-ES"/>
        </w:rPr>
        <w:t xml:space="preserve"> </w:t>
      </w:r>
      <w:proofErr w:type="spellStart"/>
      <w:r w:rsidRPr="00922C58">
        <w:rPr>
          <w:rFonts w:ascii="Helvetica" w:eastAsia="Times New Roman" w:hAnsi="Helvetica" w:cs="Times New Roman"/>
          <w:color w:val="000000"/>
          <w:sz w:val="27"/>
          <w:szCs w:val="27"/>
          <w:lang w:eastAsia="es-ES"/>
        </w:rPr>
        <w:t>d’Hebron</w:t>
      </w:r>
      <w:proofErr w:type="spellEnd"/>
      <w:r w:rsidRPr="00922C58">
        <w:rPr>
          <w:rFonts w:ascii="Helvetica" w:eastAsia="Times New Roman" w:hAnsi="Helvetica" w:cs="Times New Roman"/>
          <w:color w:val="000000"/>
          <w:sz w:val="27"/>
          <w:szCs w:val="27"/>
          <w:lang w:eastAsia="es-ES"/>
        </w:rPr>
        <w:t xml:space="preserve"> </w:t>
      </w:r>
      <w:proofErr w:type="spellStart"/>
      <w:r w:rsidRPr="00922C58">
        <w:rPr>
          <w:rFonts w:ascii="Helvetica" w:eastAsia="Times New Roman" w:hAnsi="Helvetica" w:cs="Times New Roman"/>
          <w:color w:val="000000"/>
          <w:sz w:val="27"/>
          <w:szCs w:val="27"/>
          <w:lang w:eastAsia="es-ES"/>
        </w:rPr>
        <w:t>Institut</w:t>
      </w:r>
      <w:proofErr w:type="spellEnd"/>
      <w:r w:rsidRPr="00922C58">
        <w:rPr>
          <w:rFonts w:ascii="Helvetica" w:eastAsia="Times New Roman" w:hAnsi="Helvetica" w:cs="Times New Roman"/>
          <w:color w:val="000000"/>
          <w:sz w:val="27"/>
          <w:szCs w:val="27"/>
          <w:lang w:eastAsia="es-ES"/>
        </w:rPr>
        <w:t xml:space="preserve"> de Recerca; </w:t>
      </w:r>
      <w:r w:rsidRPr="00922C58">
        <w:rPr>
          <w:rFonts w:ascii="Helvetica" w:eastAsia="Times New Roman" w:hAnsi="Helvetica" w:cs="Times New Roman"/>
          <w:b/>
          <w:bCs/>
          <w:color w:val="000000"/>
          <w:sz w:val="27"/>
          <w:szCs w:val="27"/>
          <w:lang w:eastAsia="es-ES"/>
        </w:rPr>
        <w:t>María Fernández-Prada</w:t>
      </w:r>
      <w:r w:rsidRPr="00922C58">
        <w:rPr>
          <w:rFonts w:ascii="Helvetica" w:eastAsia="Times New Roman" w:hAnsi="Helvetica" w:cs="Times New Roman"/>
          <w:color w:val="000000"/>
          <w:sz w:val="27"/>
          <w:szCs w:val="27"/>
          <w:lang w:eastAsia="es-ES"/>
        </w:rPr>
        <w:t xml:space="preserve">, del Servicio de Medicina Preventiva y Salud Pública del Hospital Vital Álvarez </w:t>
      </w:r>
      <w:proofErr w:type="spellStart"/>
      <w:r w:rsidRPr="00922C58">
        <w:rPr>
          <w:rFonts w:ascii="Helvetica" w:eastAsia="Times New Roman" w:hAnsi="Helvetica" w:cs="Times New Roman"/>
          <w:color w:val="000000"/>
          <w:sz w:val="27"/>
          <w:szCs w:val="27"/>
          <w:lang w:eastAsia="es-ES"/>
        </w:rPr>
        <w:t>Buylla</w:t>
      </w:r>
      <w:proofErr w:type="spellEnd"/>
      <w:r w:rsidRPr="00922C58">
        <w:rPr>
          <w:rFonts w:ascii="Helvetica" w:eastAsia="Times New Roman" w:hAnsi="Helvetica" w:cs="Times New Roman"/>
          <w:color w:val="000000"/>
          <w:sz w:val="27"/>
          <w:szCs w:val="27"/>
          <w:lang w:eastAsia="es-ES"/>
        </w:rPr>
        <w:t>;</w:t>
      </w:r>
      <w:r w:rsidRPr="00922C58">
        <w:rPr>
          <w:rFonts w:ascii="Helvetica" w:eastAsia="Times New Roman" w:hAnsi="Helvetica" w:cs="Times New Roman"/>
          <w:b/>
          <w:bCs/>
          <w:color w:val="000000"/>
          <w:sz w:val="27"/>
          <w:szCs w:val="27"/>
          <w:lang w:eastAsia="es-ES"/>
        </w:rPr>
        <w:t xml:space="preserve"> Itziar </w:t>
      </w:r>
      <w:proofErr w:type="spellStart"/>
      <w:r w:rsidRPr="00922C58">
        <w:rPr>
          <w:rFonts w:ascii="Helvetica" w:eastAsia="Times New Roman" w:hAnsi="Helvetica" w:cs="Times New Roman"/>
          <w:b/>
          <w:bCs/>
          <w:color w:val="000000"/>
          <w:sz w:val="27"/>
          <w:szCs w:val="27"/>
          <w:lang w:eastAsia="es-ES"/>
        </w:rPr>
        <w:t>Lanzeta</w:t>
      </w:r>
      <w:proofErr w:type="spellEnd"/>
      <w:r w:rsidRPr="00922C58">
        <w:rPr>
          <w:rFonts w:ascii="Helvetica" w:eastAsia="Times New Roman" w:hAnsi="Helvetica" w:cs="Times New Roman"/>
          <w:color w:val="000000"/>
          <w:sz w:val="27"/>
          <w:szCs w:val="27"/>
          <w:lang w:eastAsia="es-ES"/>
        </w:rPr>
        <w:t xml:space="preserve">, del Servicio de Medicina Preventiva de la OSI </w:t>
      </w:r>
      <w:proofErr w:type="spellStart"/>
      <w:r w:rsidRPr="00922C58">
        <w:rPr>
          <w:rFonts w:ascii="Helvetica" w:eastAsia="Times New Roman" w:hAnsi="Helvetica" w:cs="Times New Roman"/>
          <w:color w:val="000000"/>
          <w:sz w:val="27"/>
          <w:szCs w:val="27"/>
          <w:lang w:eastAsia="es-ES"/>
        </w:rPr>
        <w:t>Donostialdea</w:t>
      </w:r>
      <w:proofErr w:type="spellEnd"/>
      <w:r w:rsidRPr="00922C58">
        <w:rPr>
          <w:rFonts w:ascii="Helvetica" w:eastAsia="Times New Roman" w:hAnsi="Helvetica" w:cs="Times New Roman"/>
          <w:color w:val="000000"/>
          <w:sz w:val="27"/>
          <w:szCs w:val="27"/>
          <w:lang w:eastAsia="es-ES"/>
        </w:rPr>
        <w:t>; y </w:t>
      </w:r>
      <w:r w:rsidRPr="00922C58">
        <w:rPr>
          <w:rFonts w:ascii="Helvetica" w:eastAsia="Times New Roman" w:hAnsi="Helvetica" w:cs="Times New Roman"/>
          <w:b/>
          <w:bCs/>
          <w:color w:val="000000"/>
          <w:sz w:val="27"/>
          <w:szCs w:val="27"/>
          <w:lang w:eastAsia="es-ES"/>
        </w:rPr>
        <w:t>Jaime Pérez</w:t>
      </w:r>
      <w:r w:rsidRPr="00922C58">
        <w:rPr>
          <w:rFonts w:ascii="Helvetica" w:eastAsia="Times New Roman" w:hAnsi="Helvetica" w:cs="Times New Roman"/>
          <w:color w:val="000000"/>
          <w:sz w:val="27"/>
          <w:szCs w:val="27"/>
          <w:lang w:eastAsia="es-ES"/>
        </w:rPr>
        <w:t>, de la Subdirección General de Prevención, Promoción de la Salud y Adicciones de la Región de Murcia</w:t>
      </w:r>
    </w:p>
    <w:p w:rsidR="00922C58" w:rsidRPr="00922C58" w:rsidRDefault="00922C58" w:rsidP="00922C58">
      <w:pPr>
        <w:spacing w:after="315" w:line="240" w:lineRule="auto"/>
        <w:rPr>
          <w:rFonts w:ascii="Helvetica" w:eastAsia="Times New Roman" w:hAnsi="Helvetica" w:cs="Times New Roman"/>
          <w:color w:val="000000"/>
          <w:sz w:val="27"/>
          <w:szCs w:val="27"/>
          <w:lang w:eastAsia="es-ES"/>
        </w:rPr>
      </w:pPr>
      <w:r w:rsidRPr="00922C58">
        <w:rPr>
          <w:rFonts w:ascii="Helvetica" w:eastAsia="Times New Roman" w:hAnsi="Helvetica" w:cs="Times New Roman"/>
          <w:color w:val="000000"/>
          <w:sz w:val="27"/>
          <w:szCs w:val="27"/>
          <w:lang w:eastAsia="es-ES"/>
        </w:rPr>
        <w:t>Del panel de expertos han formado parte</w:t>
      </w:r>
      <w:r w:rsidRPr="00922C58">
        <w:rPr>
          <w:rFonts w:ascii="Helvetica" w:eastAsia="Times New Roman" w:hAnsi="Helvetica" w:cs="Times New Roman"/>
          <w:b/>
          <w:bCs/>
          <w:color w:val="000000"/>
          <w:sz w:val="27"/>
          <w:szCs w:val="27"/>
          <w:lang w:eastAsia="es-ES"/>
        </w:rPr>
        <w:t xml:space="preserve"> Blanca </w:t>
      </w:r>
      <w:proofErr w:type="spellStart"/>
      <w:r w:rsidRPr="00922C58">
        <w:rPr>
          <w:rFonts w:ascii="Helvetica" w:eastAsia="Times New Roman" w:hAnsi="Helvetica" w:cs="Times New Roman"/>
          <w:b/>
          <w:bCs/>
          <w:color w:val="000000"/>
          <w:sz w:val="27"/>
          <w:szCs w:val="27"/>
          <w:lang w:eastAsia="es-ES"/>
        </w:rPr>
        <w:t>O’Donnell</w:t>
      </w:r>
      <w:proofErr w:type="spellEnd"/>
      <w:r w:rsidRPr="00922C58">
        <w:rPr>
          <w:rFonts w:ascii="Helvetica" w:eastAsia="Times New Roman" w:hAnsi="Helvetica" w:cs="Times New Roman"/>
          <w:color w:val="000000"/>
          <w:sz w:val="27"/>
          <w:szCs w:val="27"/>
          <w:lang w:eastAsia="es-ES"/>
        </w:rPr>
        <w:t>, del Servicio de Medicina Preventiva y Salud Pública del Hospital Virgen de la Victoria; </w:t>
      </w:r>
      <w:r w:rsidRPr="00922C58">
        <w:rPr>
          <w:rFonts w:ascii="Helvetica" w:eastAsia="Times New Roman" w:hAnsi="Helvetica" w:cs="Times New Roman"/>
          <w:b/>
          <w:bCs/>
          <w:color w:val="000000"/>
          <w:sz w:val="27"/>
          <w:szCs w:val="27"/>
          <w:lang w:eastAsia="es-ES"/>
        </w:rPr>
        <w:t>Carmen Olmedo</w:t>
      </w:r>
      <w:r w:rsidRPr="00922C58">
        <w:rPr>
          <w:rFonts w:ascii="Helvetica" w:eastAsia="Times New Roman" w:hAnsi="Helvetica" w:cs="Times New Roman"/>
          <w:color w:val="000000"/>
          <w:sz w:val="27"/>
          <w:szCs w:val="27"/>
          <w:lang w:eastAsia="es-ES"/>
        </w:rPr>
        <w:t>, del Área de Programas de Vacunación del Ministerio de Sanidad; </w:t>
      </w:r>
      <w:proofErr w:type="spellStart"/>
      <w:r w:rsidRPr="00922C58">
        <w:rPr>
          <w:rFonts w:ascii="Helvetica" w:eastAsia="Times New Roman" w:hAnsi="Helvetica" w:cs="Times New Roman"/>
          <w:b/>
          <w:bCs/>
          <w:color w:val="000000"/>
          <w:sz w:val="27"/>
          <w:szCs w:val="27"/>
          <w:lang w:eastAsia="es-ES"/>
        </w:rPr>
        <w:t>Glòria</w:t>
      </w:r>
      <w:proofErr w:type="spellEnd"/>
      <w:r w:rsidRPr="00922C58">
        <w:rPr>
          <w:rFonts w:ascii="Helvetica" w:eastAsia="Times New Roman" w:hAnsi="Helvetica" w:cs="Times New Roman"/>
          <w:b/>
          <w:bCs/>
          <w:color w:val="000000"/>
          <w:sz w:val="27"/>
          <w:szCs w:val="27"/>
          <w:lang w:eastAsia="es-ES"/>
        </w:rPr>
        <w:t xml:space="preserve"> Mirada</w:t>
      </w:r>
      <w:r w:rsidRPr="00922C58">
        <w:rPr>
          <w:rFonts w:ascii="Helvetica" w:eastAsia="Times New Roman" w:hAnsi="Helvetica" w:cs="Times New Roman"/>
          <w:color w:val="000000"/>
          <w:sz w:val="27"/>
          <w:szCs w:val="27"/>
          <w:lang w:eastAsia="es-ES"/>
        </w:rPr>
        <w:t>, del Servicio Regional de la Agencia de Salud Pública de Catalunya de Lleida; </w:t>
      </w:r>
      <w:r w:rsidRPr="00922C58">
        <w:rPr>
          <w:rFonts w:ascii="Helvetica" w:eastAsia="Times New Roman" w:hAnsi="Helvetica" w:cs="Times New Roman"/>
          <w:b/>
          <w:bCs/>
          <w:color w:val="000000"/>
          <w:sz w:val="27"/>
          <w:szCs w:val="27"/>
          <w:lang w:eastAsia="es-ES"/>
        </w:rPr>
        <w:t>Henar Rebollo</w:t>
      </w:r>
      <w:r w:rsidRPr="00922C58">
        <w:rPr>
          <w:rFonts w:ascii="Helvetica" w:eastAsia="Times New Roman" w:hAnsi="Helvetica" w:cs="Times New Roman"/>
          <w:color w:val="000000"/>
          <w:sz w:val="27"/>
          <w:szCs w:val="27"/>
          <w:lang w:eastAsia="es-ES"/>
        </w:rPr>
        <w:t xml:space="preserve">, del Servicio de Medicina Preventiva del Hospital Universitario Marqués de </w:t>
      </w:r>
      <w:proofErr w:type="spellStart"/>
      <w:r w:rsidRPr="00922C58">
        <w:rPr>
          <w:rFonts w:ascii="Helvetica" w:eastAsia="Times New Roman" w:hAnsi="Helvetica" w:cs="Times New Roman"/>
          <w:color w:val="000000"/>
          <w:sz w:val="27"/>
          <w:szCs w:val="27"/>
          <w:lang w:eastAsia="es-ES"/>
        </w:rPr>
        <w:t>Valdecilla</w:t>
      </w:r>
      <w:proofErr w:type="spellEnd"/>
      <w:r w:rsidRPr="00922C58">
        <w:rPr>
          <w:rFonts w:ascii="Helvetica" w:eastAsia="Times New Roman" w:hAnsi="Helvetica" w:cs="Times New Roman"/>
          <w:color w:val="000000"/>
          <w:sz w:val="27"/>
          <w:szCs w:val="27"/>
          <w:lang w:eastAsia="es-ES"/>
        </w:rPr>
        <w:t>; </w:t>
      </w:r>
      <w:r w:rsidRPr="00922C58">
        <w:rPr>
          <w:rFonts w:ascii="Helvetica" w:eastAsia="Times New Roman" w:hAnsi="Helvetica" w:cs="Times New Roman"/>
          <w:b/>
          <w:bCs/>
          <w:color w:val="000000"/>
          <w:sz w:val="27"/>
          <w:szCs w:val="27"/>
          <w:lang w:eastAsia="es-ES"/>
        </w:rPr>
        <w:t>Ismael Huerta</w:t>
      </w:r>
      <w:r w:rsidRPr="00922C58">
        <w:rPr>
          <w:rFonts w:ascii="Helvetica" w:eastAsia="Times New Roman" w:hAnsi="Helvetica" w:cs="Times New Roman"/>
          <w:color w:val="000000"/>
          <w:sz w:val="27"/>
          <w:szCs w:val="27"/>
          <w:lang w:eastAsia="es-ES"/>
        </w:rPr>
        <w:t>, coordinación de Salud Pública Área III, Asturias; </w:t>
      </w:r>
      <w:r w:rsidRPr="00922C58">
        <w:rPr>
          <w:rFonts w:ascii="Helvetica" w:eastAsia="Times New Roman" w:hAnsi="Helvetica" w:cs="Times New Roman"/>
          <w:b/>
          <w:bCs/>
          <w:color w:val="000000"/>
          <w:sz w:val="27"/>
          <w:szCs w:val="27"/>
          <w:lang w:eastAsia="es-ES"/>
        </w:rPr>
        <w:t xml:space="preserve">Julián </w:t>
      </w:r>
      <w:proofErr w:type="spellStart"/>
      <w:r w:rsidRPr="00922C58">
        <w:rPr>
          <w:rFonts w:ascii="Helvetica" w:eastAsia="Times New Roman" w:hAnsi="Helvetica" w:cs="Times New Roman"/>
          <w:b/>
          <w:bCs/>
          <w:color w:val="000000"/>
          <w:sz w:val="27"/>
          <w:szCs w:val="27"/>
          <w:lang w:eastAsia="es-ES"/>
        </w:rPr>
        <w:t>Ojanguren</w:t>
      </w:r>
      <w:proofErr w:type="spellEnd"/>
      <w:r w:rsidRPr="00922C58">
        <w:rPr>
          <w:rFonts w:ascii="Helvetica" w:eastAsia="Times New Roman" w:hAnsi="Helvetica" w:cs="Times New Roman"/>
          <w:color w:val="000000"/>
          <w:sz w:val="27"/>
          <w:szCs w:val="27"/>
          <w:lang w:eastAsia="es-ES"/>
        </w:rPr>
        <w:t>, Pediatría de Atención Primaria en el Área de Salud de Fuerteventura; </w:t>
      </w:r>
      <w:r w:rsidRPr="00922C58">
        <w:rPr>
          <w:rFonts w:ascii="Helvetica" w:eastAsia="Times New Roman" w:hAnsi="Helvetica" w:cs="Times New Roman"/>
          <w:b/>
          <w:bCs/>
          <w:color w:val="000000"/>
          <w:sz w:val="27"/>
          <w:szCs w:val="27"/>
          <w:lang w:eastAsia="es-ES"/>
        </w:rPr>
        <w:t>Raquel Barbosa</w:t>
      </w:r>
      <w:r w:rsidRPr="00922C58">
        <w:rPr>
          <w:rFonts w:ascii="Helvetica" w:eastAsia="Times New Roman" w:hAnsi="Helvetica" w:cs="Times New Roman"/>
          <w:color w:val="000000"/>
          <w:sz w:val="27"/>
          <w:szCs w:val="27"/>
          <w:lang w:eastAsia="es-ES"/>
        </w:rPr>
        <w:t xml:space="preserve">, del Servicio de Medicina Preventiva del Hospital Universitario </w:t>
      </w:r>
      <w:proofErr w:type="spellStart"/>
      <w:r w:rsidRPr="00922C58">
        <w:rPr>
          <w:rFonts w:ascii="Helvetica" w:eastAsia="Times New Roman" w:hAnsi="Helvetica" w:cs="Times New Roman"/>
          <w:color w:val="000000"/>
          <w:sz w:val="27"/>
          <w:szCs w:val="27"/>
          <w:lang w:eastAsia="es-ES"/>
        </w:rPr>
        <w:t>Lucus</w:t>
      </w:r>
      <w:proofErr w:type="spellEnd"/>
      <w:r w:rsidRPr="00922C58">
        <w:rPr>
          <w:rFonts w:ascii="Helvetica" w:eastAsia="Times New Roman" w:hAnsi="Helvetica" w:cs="Times New Roman"/>
          <w:color w:val="000000"/>
          <w:sz w:val="27"/>
          <w:szCs w:val="27"/>
          <w:lang w:eastAsia="es-ES"/>
        </w:rPr>
        <w:t xml:space="preserve"> </w:t>
      </w:r>
      <w:proofErr w:type="spellStart"/>
      <w:r w:rsidRPr="00922C58">
        <w:rPr>
          <w:rFonts w:ascii="Helvetica" w:eastAsia="Times New Roman" w:hAnsi="Helvetica" w:cs="Times New Roman"/>
          <w:color w:val="000000"/>
          <w:sz w:val="27"/>
          <w:szCs w:val="27"/>
          <w:lang w:eastAsia="es-ES"/>
        </w:rPr>
        <w:t>Augusti</w:t>
      </w:r>
      <w:proofErr w:type="spellEnd"/>
      <w:r w:rsidRPr="00922C58">
        <w:rPr>
          <w:rFonts w:ascii="Helvetica" w:eastAsia="Times New Roman" w:hAnsi="Helvetica" w:cs="Times New Roman"/>
          <w:color w:val="000000"/>
          <w:sz w:val="27"/>
          <w:szCs w:val="27"/>
          <w:lang w:eastAsia="es-ES"/>
        </w:rPr>
        <w:t>; y </w:t>
      </w:r>
      <w:proofErr w:type="spellStart"/>
      <w:r w:rsidRPr="00922C58">
        <w:rPr>
          <w:rFonts w:ascii="Helvetica" w:eastAsia="Times New Roman" w:hAnsi="Helvetica" w:cs="Times New Roman"/>
          <w:b/>
          <w:bCs/>
          <w:color w:val="000000"/>
          <w:sz w:val="27"/>
          <w:szCs w:val="27"/>
          <w:lang w:eastAsia="es-ES"/>
        </w:rPr>
        <w:t>Sonsoles</w:t>
      </w:r>
      <w:proofErr w:type="spellEnd"/>
      <w:r w:rsidRPr="00922C58">
        <w:rPr>
          <w:rFonts w:ascii="Helvetica" w:eastAsia="Times New Roman" w:hAnsi="Helvetica" w:cs="Times New Roman"/>
          <w:b/>
          <w:bCs/>
          <w:color w:val="000000"/>
          <w:sz w:val="27"/>
          <w:szCs w:val="27"/>
          <w:lang w:eastAsia="es-ES"/>
        </w:rPr>
        <w:t xml:space="preserve"> Paniagua</w:t>
      </w:r>
      <w:r w:rsidRPr="00922C58">
        <w:rPr>
          <w:rFonts w:ascii="Helvetica" w:eastAsia="Times New Roman" w:hAnsi="Helvetica" w:cs="Times New Roman"/>
          <w:color w:val="000000"/>
          <w:sz w:val="27"/>
          <w:szCs w:val="27"/>
          <w:lang w:eastAsia="es-ES"/>
        </w:rPr>
        <w:t xml:space="preserve">, del Servicio de Medicina Preventiva y Salud Pública del Hospital Universitario Río </w:t>
      </w:r>
      <w:proofErr w:type="spellStart"/>
      <w:r w:rsidRPr="00922C58">
        <w:rPr>
          <w:rFonts w:ascii="Helvetica" w:eastAsia="Times New Roman" w:hAnsi="Helvetica" w:cs="Times New Roman"/>
          <w:color w:val="000000"/>
          <w:sz w:val="27"/>
          <w:szCs w:val="27"/>
          <w:lang w:eastAsia="es-ES"/>
        </w:rPr>
        <w:t>Hortega</w:t>
      </w:r>
      <w:proofErr w:type="spellEnd"/>
      <w:r w:rsidRPr="00922C58">
        <w:rPr>
          <w:rFonts w:ascii="Helvetica" w:eastAsia="Times New Roman" w:hAnsi="Helvetica" w:cs="Times New Roman"/>
          <w:color w:val="000000"/>
          <w:sz w:val="27"/>
          <w:szCs w:val="27"/>
          <w:lang w:eastAsia="es-ES"/>
        </w:rPr>
        <w:t>.</w:t>
      </w:r>
    </w:p>
    <w:p w:rsidR="00F46974" w:rsidRDefault="00922C58"/>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58"/>
    <w:rsid w:val="003A71DB"/>
    <w:rsid w:val="00922C58"/>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8DA6"/>
  <w15:chartTrackingRefBased/>
  <w15:docId w15:val="{EB0F0D80-A25B-40A8-8085-3B87236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22C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922C5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C58"/>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922C58"/>
    <w:rPr>
      <w:rFonts w:ascii="Times New Roman" w:eastAsia="Times New Roman" w:hAnsi="Times New Roman" w:cs="Times New Roman"/>
      <w:b/>
      <w:bCs/>
      <w:sz w:val="27"/>
      <w:szCs w:val="27"/>
      <w:lang w:eastAsia="es-ES"/>
    </w:rPr>
  </w:style>
  <w:style w:type="paragraph" w:customStyle="1" w:styleId="td-post-sub-title">
    <w:name w:val="td-post-sub-title"/>
    <w:basedOn w:val="Normal"/>
    <w:rsid w:val="00922C5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22C58"/>
    <w:rPr>
      <w:color w:val="0000FF"/>
      <w:u w:val="single"/>
    </w:rPr>
  </w:style>
  <w:style w:type="character" w:customStyle="1" w:styleId="td-post-date">
    <w:name w:val="td-post-date"/>
    <w:basedOn w:val="Fuentedeprrafopredeter"/>
    <w:rsid w:val="00922C58"/>
  </w:style>
  <w:style w:type="paragraph" w:styleId="NormalWeb">
    <w:name w:val="Normal (Web)"/>
    <w:basedOn w:val="Normal"/>
    <w:uiPriority w:val="99"/>
    <w:semiHidden/>
    <w:unhideWhenUsed/>
    <w:rsid w:val="00922C5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22C58"/>
    <w:rPr>
      <w:b/>
      <w:bCs/>
    </w:rPr>
  </w:style>
  <w:style w:type="paragraph" w:customStyle="1" w:styleId="has-text-align-center">
    <w:name w:val="has-text-align-center"/>
    <w:basedOn w:val="Normal"/>
    <w:rsid w:val="00922C5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76925717">
          <w:marLeft w:val="0"/>
          <w:marRight w:val="0"/>
          <w:marTop w:val="0"/>
          <w:marBottom w:val="0"/>
          <w:divBdr>
            <w:top w:val="none" w:sz="0" w:space="0" w:color="auto"/>
            <w:left w:val="none" w:sz="0" w:space="0" w:color="auto"/>
            <w:bottom w:val="none" w:sz="0" w:space="0" w:color="auto"/>
            <w:right w:val="none" w:sz="0" w:space="0" w:color="auto"/>
          </w:divBdr>
          <w:divsChild>
            <w:div w:id="1404716551">
              <w:marLeft w:val="0"/>
              <w:marRight w:val="0"/>
              <w:marTop w:val="0"/>
              <w:marBottom w:val="540"/>
              <w:divBdr>
                <w:top w:val="none" w:sz="0" w:space="0" w:color="auto"/>
                <w:left w:val="none" w:sz="0" w:space="0" w:color="auto"/>
                <w:bottom w:val="none" w:sz="0" w:space="0" w:color="auto"/>
                <w:right w:val="none" w:sz="0" w:space="0" w:color="auto"/>
              </w:divBdr>
              <w:divsChild>
                <w:div w:id="1366758043">
                  <w:marLeft w:val="0"/>
                  <w:marRight w:val="0"/>
                  <w:marTop w:val="0"/>
                  <w:marBottom w:val="240"/>
                  <w:divBdr>
                    <w:top w:val="none" w:sz="0" w:space="0" w:color="auto"/>
                    <w:left w:val="none" w:sz="0" w:space="0" w:color="auto"/>
                    <w:bottom w:val="none" w:sz="0" w:space="0" w:color="auto"/>
                    <w:right w:val="none" w:sz="0" w:space="0" w:color="auto"/>
                  </w:divBdr>
                  <w:divsChild>
                    <w:div w:id="198248367">
                      <w:marLeft w:val="0"/>
                      <w:marRight w:val="0"/>
                      <w:marTop w:val="0"/>
                      <w:marBottom w:val="0"/>
                      <w:divBdr>
                        <w:top w:val="none" w:sz="0" w:space="0" w:color="auto"/>
                        <w:left w:val="none" w:sz="0" w:space="0" w:color="auto"/>
                        <w:bottom w:val="none" w:sz="0" w:space="0" w:color="auto"/>
                        <w:right w:val="none" w:sz="0" w:space="0" w:color="auto"/>
                      </w:divBdr>
                      <w:divsChild>
                        <w:div w:id="464153814">
                          <w:marLeft w:val="0"/>
                          <w:marRight w:val="30"/>
                          <w:marTop w:val="0"/>
                          <w:marBottom w:val="0"/>
                          <w:divBdr>
                            <w:top w:val="none" w:sz="0" w:space="0" w:color="auto"/>
                            <w:left w:val="none" w:sz="0" w:space="0" w:color="auto"/>
                            <w:bottom w:val="none" w:sz="0" w:space="0" w:color="auto"/>
                            <w:right w:val="none" w:sz="0" w:space="0" w:color="auto"/>
                          </w:divBdr>
                        </w:div>
                        <w:div w:id="194499250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5089">
          <w:marLeft w:val="0"/>
          <w:marRight w:val="0"/>
          <w:marTop w:val="0"/>
          <w:marBottom w:val="0"/>
          <w:divBdr>
            <w:top w:val="none" w:sz="0" w:space="0" w:color="auto"/>
            <w:left w:val="none" w:sz="0" w:space="0" w:color="auto"/>
            <w:bottom w:val="none" w:sz="0" w:space="0" w:color="auto"/>
            <w:right w:val="none" w:sz="0" w:space="0" w:color="auto"/>
          </w:divBdr>
          <w:divsChild>
            <w:div w:id="262105825">
              <w:marLeft w:val="-360"/>
              <w:marRight w:val="-360"/>
              <w:marTop w:val="0"/>
              <w:marBottom w:val="0"/>
              <w:divBdr>
                <w:top w:val="none" w:sz="0" w:space="0" w:color="auto"/>
                <w:left w:val="none" w:sz="0" w:space="0" w:color="auto"/>
                <w:bottom w:val="none" w:sz="0" w:space="0" w:color="auto"/>
                <w:right w:val="none" w:sz="0" w:space="0" w:color="auto"/>
              </w:divBdr>
              <w:divsChild>
                <w:div w:id="1352493457">
                  <w:marLeft w:val="0"/>
                  <w:marRight w:val="0"/>
                  <w:marTop w:val="0"/>
                  <w:marBottom w:val="0"/>
                  <w:divBdr>
                    <w:top w:val="none" w:sz="0" w:space="0" w:color="auto"/>
                    <w:left w:val="none" w:sz="0" w:space="0" w:color="auto"/>
                    <w:bottom w:val="none" w:sz="0" w:space="0" w:color="auto"/>
                    <w:right w:val="none" w:sz="0" w:space="0" w:color="auto"/>
                  </w:divBdr>
                  <w:divsChild>
                    <w:div w:id="1885170150">
                      <w:marLeft w:val="0"/>
                      <w:marRight w:val="0"/>
                      <w:marTop w:val="0"/>
                      <w:marBottom w:val="0"/>
                      <w:divBdr>
                        <w:top w:val="none" w:sz="0" w:space="0" w:color="auto"/>
                        <w:left w:val="none" w:sz="0" w:space="0" w:color="auto"/>
                        <w:bottom w:val="none" w:sz="0" w:space="0" w:color="auto"/>
                        <w:right w:val="none" w:sz="0" w:space="0" w:color="auto"/>
                      </w:divBdr>
                      <w:divsChild>
                        <w:div w:id="180440570">
                          <w:marLeft w:val="0"/>
                          <w:marRight w:val="0"/>
                          <w:marTop w:val="0"/>
                          <w:marBottom w:val="450"/>
                          <w:divBdr>
                            <w:top w:val="none" w:sz="0" w:space="0" w:color="auto"/>
                            <w:left w:val="none" w:sz="0" w:space="0" w:color="auto"/>
                            <w:bottom w:val="none" w:sz="0" w:space="0" w:color="auto"/>
                            <w:right w:val="none" w:sz="0" w:space="0" w:color="auto"/>
                          </w:divBdr>
                          <w:divsChild>
                            <w:div w:id="890074307">
                              <w:marLeft w:val="-45"/>
                              <w:marRight w:val="-45"/>
                              <w:marTop w:val="0"/>
                              <w:marBottom w:val="0"/>
                              <w:divBdr>
                                <w:top w:val="none" w:sz="0" w:space="0" w:color="auto"/>
                                <w:left w:val="none" w:sz="0" w:space="0" w:color="auto"/>
                                <w:bottom w:val="none" w:sz="0" w:space="0" w:color="auto"/>
                                <w:right w:val="none" w:sz="0" w:space="0" w:color="auto"/>
                              </w:divBdr>
                              <w:divsChild>
                                <w:div w:id="4149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0184">
                          <w:marLeft w:val="0"/>
                          <w:marRight w:val="0"/>
                          <w:marTop w:val="0"/>
                          <w:marBottom w:val="0"/>
                          <w:divBdr>
                            <w:top w:val="none" w:sz="0" w:space="0" w:color="auto"/>
                            <w:left w:val="none" w:sz="0" w:space="0" w:color="auto"/>
                            <w:bottom w:val="none" w:sz="0" w:space="0" w:color="auto"/>
                            <w:right w:val="none" w:sz="0" w:space="0" w:color="auto"/>
                          </w:divBdr>
                          <w:divsChild>
                            <w:div w:id="34382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46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763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cetamedica.com/author/redaccion/"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4593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2023-05-05T07:39:00Z</dcterms:created>
  <dcterms:modified xsi:type="dcterms:W3CDTF">2023-05-05T07:41:00Z</dcterms:modified>
</cp:coreProperties>
</file>